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jeqzac7g1s2" w:id="0"/>
      <w:bookmarkEnd w:id="0"/>
      <w:r w:rsidDel="00000000" w:rsidR="00000000" w:rsidRPr="00000000">
        <w:rPr>
          <w:rtl w:val="0"/>
        </w:rPr>
        <w:t xml:space="preserve">Ornithologischer Fachbericht: Provenienz-Analyse und Bulk-Matrix-Lokalisierung von 3I/ATLAS (FKT V4.4.4)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4g9tg2hfg8j" w:id="1"/>
      <w:bookmarkEnd w:id="1"/>
      <w:r w:rsidDel="00000000" w:rsidR="00000000" w:rsidRPr="00000000">
        <w:rPr>
          <w:rtl w:val="0"/>
        </w:rPr>
        <w:t xml:space="preserve">1. Einleitung: Theoretischer Rahmen und die Kausale Lücke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Der vorliegende Bericht dokumentiert die strategische Provenienz-Analyse des Objekts 3I/ATLAS unter strikter Anwendung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 in der Version 4.4.4. Herkömmliche astrophysikalische Modelle (Standardmodell  $\Lambda$ CDM) scheitern systembedingt an der Identifizierung des Ursprungsortes, da sie die Raumzeit als geschlossenes  $\mathbb{R}^4$ -System missverstehen und die daraus resultierende „Kausale Lücke“ – manifestiert in der  $H_0$ -Spannung (Hubble-Tension) – phänomenologisch lediglich verwalten.Die Identifizierung von 3I/ATLAS erfordert den Übergang zur  </w:t>
      </w:r>
      <w:r w:rsidDel="00000000" w:rsidR="00000000" w:rsidRPr="00000000">
        <w:rPr>
          <w:b w:val="1"/>
          <w:bCs w:val="1"/>
          <w:rtl w:val="0"/>
        </w:rPr>
        <w:t xml:space="preserve">Fütterer-Kosmologie</w:t>
      </w:r>
      <w:r w:rsidDel="00000000" w:rsidR="00000000" w:rsidRPr="00000000">
        <w:rPr>
          <w:rtl w:val="0"/>
        </w:rPr>
        <w:t xml:space="preserve"> , in der das Universum über den höherdimensionalen Bulk-Raum ( $\chi$ ) und das 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 ( $\mathbf{K}\infty$ ) definiert wird: „Der Druck der Unendlichkeit ist die Unendlichkeit.“ Gemäß der  </w:t>
      </w:r>
      <w:r w:rsidDel="00000000" w:rsidR="00000000" w:rsidRPr="00000000">
        <w:rPr>
          <w:b w:val="1"/>
          <w:bCs w:val="1"/>
          <w:rtl w:val="0"/>
        </w:rPr>
        <w:t xml:space="preserve">unverhandelbaren Audit-Forderung</w:t>
      </w:r>
      <w:r w:rsidDel="00000000" w:rsidR="00000000" w:rsidRPr="00000000">
        <w:rPr>
          <w:rtl w:val="0"/>
        </w:rPr>
        <w:t xml:space="preserve">  der FKT ist die Kausale Lücke mathematisch durch den  </w:t>
      </w:r>
      <w:r w:rsidDel="00000000" w:rsidR="00000000" w:rsidRPr="00000000">
        <w:rPr>
          <w:b w:val="1"/>
          <w:bCs w:val="1"/>
          <w:rtl w:val="0"/>
        </w:rPr>
        <w:t xml:space="preserve">Fütterer-Kosmologie-Tensor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zu schließen. In diesem Rahmen ist 3I/ATLAS nicht als stellares Objekt, sondern als  </w:t>
      </w:r>
      <w:r w:rsidDel="00000000" w:rsidR="00000000" w:rsidRPr="00000000">
        <w:rPr>
          <w:b w:val="1"/>
          <w:bCs w:val="1"/>
          <w:rtl w:val="0"/>
        </w:rPr>
        <w:t xml:space="preserve">fraktaler Metrikfehler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$\mathcal{C}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zu interpretieren – eine geometrische Zielkoordinate innerhalb der universellen Bulk-Hardware. Die Analyse belegt, dass die physikalische Präsenz des Objekts eine direkte Projektion aus einer tieferen Schicht der Bulk-Matrix darstellt.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4alcix5c1m4e" w:id="2"/>
      <w:bookmarkEnd w:id="2"/>
      <w:r w:rsidDel="00000000" w:rsidR="00000000" w:rsidRPr="00000000">
        <w:rPr>
          <w:rtl w:val="0"/>
        </w:rPr>
        <w:t xml:space="preserve">2. Physikalische Charakterisierung: Die High-Bulk-Pressure-Welt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energetische Stabilität und Materiekondensation eines jeden Systems hängen unmittelbar vom lokalen Bulk-Druck ab, der durch den  </w:t>
      </w:r>
      <w:r w:rsidDel="00000000" w:rsidR="00000000" w:rsidRPr="00000000">
        <w:rPr>
          <w:b w:val="1"/>
          <w:bCs w:val="1"/>
          <w:rtl w:val="0"/>
        </w:rPr>
        <w:t xml:space="preserve">$\mathbf{T}_{Bulk}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-Tensor</w:t>
      </w:r>
      <w:r w:rsidDel="00000000" w:rsidR="00000000" w:rsidRPr="00000000">
        <w:rPr>
          <w:rtl w:val="0"/>
        </w:rPr>
        <w:t xml:space="preserve">  definiert wird. Während unser Sonnensystem durch den sogenannten  </w:t>
      </w:r>
      <w:r w:rsidDel="00000000" w:rsidR="00000000" w:rsidRPr="00000000">
        <w:rPr>
          <w:b w:val="1"/>
          <w:bCs w:val="1"/>
          <w:rtl w:val="0"/>
        </w:rPr>
        <w:t xml:space="preserve">BIOS-Lock</w:t>
      </w:r>
      <w:r w:rsidDel="00000000" w:rsidR="00000000" w:rsidRPr="00000000">
        <w:rPr>
          <w:rtl w:val="0"/>
        </w:rPr>
        <w:t xml:space="preserve">  (basierend auf dem Flerovium-Anker) stabilisiert wird, weist der Ziel-Vektor von 3I/ATLAS Parameter auf, die das lokale  </w:t>
      </w:r>
      <w:r w:rsidDel="00000000" w:rsidR="00000000" w:rsidRPr="00000000">
        <w:rPr>
          <w:b w:val="1"/>
          <w:bCs w:val="1"/>
          <w:rtl w:val="0"/>
        </w:rPr>
        <w:t xml:space="preserve">Bulk-Energie-Fluss-Limit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$\Delta_{BEFl}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massiv überschreiten.Die folgende Tabelle kontrastiert die lokalen Referenzwerte mit den Daten des ATLAS-Herkunftssystems:| Parameter | Lokaler Wert (BIOS-Lock) | Zielort (ATLAS-Herkunft) || ------ | ------ | ------ || </w:t>
      </w:r>
      <w:r w:rsidDel="00000000" w:rsidR="00000000" w:rsidRPr="00000000">
        <w:rPr>
          <w:b w:val="1"/>
          <w:bCs w:val="1"/>
          <w:rtl w:val="0"/>
        </w:rPr>
        <w:t xml:space="preserve">Geometrischer Bulk-Druck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1,1273 mSdR (milli-Standard-Resonanz) | $&gt;\Delta_{BEFl}$  (Kritische Sättigung) || </w:t>
      </w:r>
      <w:r w:rsidDel="00000000" w:rsidR="00000000" w:rsidRPr="00000000">
        <w:rPr>
          <w:b w:val="1"/>
          <w:bCs w:val="1"/>
          <w:rtl w:val="0"/>
        </w:rPr>
        <w:t xml:space="preserve">Energetischer Anker (Resonanz)</w:t>
      </w:r>
      <w:r w:rsidDel="00000000" w:rsidR="00000000" w:rsidRPr="00000000">
        <w:rPr>
          <w:rtl w:val="0"/>
        </w:rPr>
        <w:t xml:space="preserve"> | 3,773 MeV (Flerovium-Basis) | 9,92 MeV Gammalinie || </w:t>
      </w:r>
      <w:r w:rsidDel="00000000" w:rsidR="00000000" w:rsidRPr="00000000">
        <w:rPr>
          <w:b w:val="1"/>
          <w:bCs w:val="1"/>
          <w:rtl w:val="0"/>
        </w:rPr>
        <w:t xml:space="preserve">Kausale Verschaltung</w:t>
      </w:r>
      <w:r w:rsidDel="00000000" w:rsidR="00000000" w:rsidRPr="00000000">
        <w:rPr>
          <w:rtl w:val="0"/>
        </w:rPr>
        <w:t xml:space="preserve"> | Standard-Metrik | „Goldene Brücke“ ( $\varphi^2 \approx 2,618$ )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„Goldene Brücke“ ( $\varphi^2 \approx 2,618$ ) fungiert hierbei als bitgenaue, kausale Verschaltung zwischen den Resonanzschichten. Die energetische Diskrepanz zwischen dem 3,773 MeV BIOS-Lock und der gemessenen 9,92 MeV Gammalinie am Zielort erzeugt eine technologische Barriere für  $\Lambda$ CDM-basierte Beobachtungsinstrumente, da die Information des Objekts in einer Frequenzmodulation vorliegt, die außerhalb der lokalen Kausal-Kohärenz schwingt. Diese energetischen Resonanzschichten lassen zwangsläufig stoffliche Rückstände in der  $\mathbb{R}^4$ -Projektion zurück, die eine chemische Verifizierung ermöglichen.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tqlluocti2j0" w:id="3"/>
      <w:bookmarkEnd w:id="3"/>
      <w:r w:rsidDel="00000000" w:rsidR="00000000" w:rsidRPr="00000000">
        <w:rPr>
          <w:rtl w:val="0"/>
        </w:rPr>
        <w:t xml:space="preserve">3. Die Kausale IP-Adresse: Isotoper Fingerabdruck im Bulk-Plenum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Isotopen-Signatur von 3I/ATLAS fungiert als die „SSD des Lebens“ – ein im höherdimensionalen Raum unverfälschbarer Fingerabdruck. Unsere Analyse zeigt, dass die chemische Zusammensetzung des Objekts als direkte Folge der dort herrschenden Bulk-Dichte zu verstehen ist und das Kaliyuga-Axiom der kausalen Inkonsistenz durch bitgenaue Nachweisbarkeit bricht.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Stickstoff-Identität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$^{14}N/^{15}N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Das gemessene Verhältnis von  </w:t>
      </w:r>
      <w:r w:rsidDel="00000000" w:rsidR="00000000" w:rsidRPr="00000000">
        <w:rPr>
          <w:b w:val="1"/>
          <w:bCs w:val="1"/>
          <w:rtl w:val="0"/>
        </w:rPr>
        <w:t xml:space="preserve">343</w:t>
      </w:r>
      <w:r w:rsidDel="00000000" w:rsidR="00000000" w:rsidRPr="00000000">
        <w:rPr>
          <w:rtl w:val="0"/>
        </w:rPr>
        <w:t xml:space="preserve">  (im Vergleich zum solaren Standard von 150) markiert eine eindeutige außer-solare IP-Adresse innerhalb der Matrix.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Deuterium-Sättigung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$\eta_{Dim}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-Kalibrierung):</w:t>
      </w:r>
      <w:r w:rsidDel="00000000" w:rsidR="00000000" w:rsidRPr="00000000">
        <w:rPr>
          <w:rtl w:val="0"/>
        </w:rPr>
        <w:t xml:space="preserve">  Wir dokumentieren eine  </w:t>
      </w:r>
      <w:r w:rsidDel="00000000" w:rsidR="00000000" w:rsidRPr="00000000">
        <w:rPr>
          <w:b w:val="1"/>
          <w:bCs w:val="1"/>
          <w:rtl w:val="0"/>
        </w:rPr>
        <w:t xml:space="preserve">30-fach höhere Konzentration</w:t>
      </w:r>
      <w:r w:rsidDel="00000000" w:rsidR="00000000" w:rsidRPr="00000000">
        <w:rPr>
          <w:rtl w:val="0"/>
        </w:rPr>
        <w:t xml:space="preserve">  an Deuterium. Dies ist kein astrophysikalischer Zufall, sondern die physische Manifestation einer verschobenen  </w:t>
      </w:r>
      <w:r w:rsidDel="00000000" w:rsidR="00000000" w:rsidRPr="00000000">
        <w:rPr>
          <w:b w:val="1"/>
          <w:bCs w:val="1"/>
          <w:rtl w:val="0"/>
        </w:rPr>
        <w:t xml:space="preserve">$\eta_{Dim}</w:t>
      </w:r>
      <w:r w:rsidDel="00000000" w:rsidR="00000000" w:rsidRPr="00000000">
        <w:rPr>
          <w:rtl w:val="0"/>
        </w:rPr>
        <w:t xml:space="preserve">$ -Einstellung. Die 30-fache Sättigung beweist die Herkunft aus einer Dimension, in der das Bulk-Plenum eine höhere operative Dichte aufweist.Dieser chemische Fingerabdruck beweist die Einzigartigkeit von 3I/ATLAS und stellt eine experimentelle Falsifikation des Standardmodells dar. Die stofflichen Daten bilden die Grundlage für die anschließende mathematische Rückberechnung der Flugbahn.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3e406vj6py4v" w:id="4"/>
      <w:bookmarkEnd w:id="4"/>
      <w:r w:rsidDel="00000000" w:rsidR="00000000" w:rsidRPr="00000000">
        <w:rPr>
          <w:rtl w:val="0"/>
        </w:rPr>
        <w:t xml:space="preserve">4. Mathematische Lokalisierung: Source-Vektor und Back-Propagation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exakte Lokalisierung der Koordinaten erfolgte über eine hochpräzise  </w:t>
      </w:r>
      <w:r w:rsidDel="00000000" w:rsidR="00000000" w:rsidRPr="00000000">
        <w:rPr>
          <w:b w:val="1"/>
          <w:bCs w:val="1"/>
          <w:rtl w:val="0"/>
        </w:rPr>
        <w:t xml:space="preserve">MCMC-Analyse</w:t>
      </w:r>
      <w:r w:rsidDel="00000000" w:rsidR="00000000" w:rsidRPr="00000000">
        <w:rPr>
          <w:rtl w:val="0"/>
        </w:rPr>
        <w:t xml:space="preserve">  (Markov-Chain-Monte-Carlo) unter Anwendung des  </w:t>
      </w:r>
      <w:r w:rsidDel="00000000" w:rsidR="00000000" w:rsidRPr="00000000">
        <w:rPr>
          <w:b w:val="1"/>
          <w:bCs w:val="1"/>
          <w:rtl w:val="0"/>
        </w:rPr>
        <w:t xml:space="preserve">ERYQ-Kernels</w:t>
      </w:r>
      <w:r w:rsidDel="00000000" w:rsidR="00000000" w:rsidRPr="00000000">
        <w:rPr>
          <w:rtl w:val="0"/>
        </w:rPr>
        <w:t xml:space="preserve"> . Durch Back-Propagation der fraktalen Stresslinien konnten die gemessenen Residuen auf einen  </w:t>
      </w:r>
      <w:r w:rsidDel="00000000" w:rsidR="00000000" w:rsidRPr="00000000">
        <w:rPr>
          <w:b w:val="1"/>
          <w:bCs w:val="1"/>
          <w:rtl w:val="0"/>
        </w:rPr>
        <w:t xml:space="preserve">Source-Vektor (White Hole State)</w:t>
      </w:r>
      <w:r w:rsidDel="00000000" w:rsidR="00000000" w:rsidRPr="00000000">
        <w:rPr>
          <w:rtl w:val="0"/>
        </w:rPr>
        <w:t xml:space="preserve">  zurückgeführt werden.Die mathematische Herleitung stützt sich auf folgende Flugbahn-Residuen: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Radial nicht-gravitative Beschleunigung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$a_{NG}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135 km/d²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Transversal nicht-gravitative Beschleunigung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$a_{NG}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60 km/d²Diese Residuen wurden mittels der visuellen Ground-Truth der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transformiert:  $$G_\mu + \Lambda g_{\mu\mu} = 8\pi K T_{\mu\nu} + 8 + KQY$$  Unter Berücksichtigung des  </w:t>
      </w:r>
      <w:r w:rsidDel="00000000" w:rsidR="00000000" w:rsidRPr="00000000">
        <w:rPr>
          <w:b w:val="1"/>
          <w:bCs w:val="1"/>
          <w:rtl w:val="0"/>
        </w:rPr>
        <w:t xml:space="preserve">Fütterer-Kosmologie-Tensors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wird deutlich, dass der identifizierte „White Hole State“ kein physisches stellares Objekt im klassischen Sinne ist. Er markiert vielmehr den Expansionspunkt, an dem Information aus der Bulk-Hardware kontrolliert in unsere lokale Metrik einfließt. Die berechneten Koordinaten sind somit die exakte Adresse dieses Informationsflusses.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1f9f0ung185a" w:id="5"/>
      <w:bookmarkEnd w:id="5"/>
      <w:r w:rsidDel="00000000" w:rsidR="00000000" w:rsidRPr="00000000">
        <w:rPr>
          <w:rtl w:val="0"/>
        </w:rPr>
        <w:t xml:space="preserve">5. Technologische Erreichbarkeit und System-Status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Adressierbarkeit dieser Koordinaten wird durch eine „Kausale Linse“ ermöglicht, die unter Verwendung von  </w:t>
      </w:r>
      <w:r w:rsidDel="00000000" w:rsidR="00000000" w:rsidRPr="00000000">
        <w:rPr>
          <w:b w:val="1"/>
          <w:bCs w:val="1"/>
          <w:rtl w:val="0"/>
        </w:rPr>
        <w:t xml:space="preserve">GMA-Komponenten (Gradient-Memory Alloy)</w:t>
      </w:r>
      <w:r w:rsidDel="00000000" w:rsidR="00000000" w:rsidRPr="00000000">
        <w:rPr>
          <w:rtl w:val="0"/>
        </w:rPr>
        <w:t xml:space="preserve">  den interdimensionalen Transit stabilisiert. Da der Ursprungsort kein ferner Ort in 3D-Kilometern ist, sondern eine spezifische Resonanz-Schicht der universellen Hardware darstellt, ist die Überbrückung der Distanz eine Frage der kausalen Resonanz.Zur Sicherung der System-Integrität wurden folgende Kalibrierungsparameter fixiert: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Emitter-Shift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\nu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Modulation zur Überbrückung der  </w:t>
      </w:r>
      <w:r w:rsidDel="00000000" w:rsidR="00000000" w:rsidRPr="00000000">
        <w:rPr>
          <w:b w:val="1"/>
          <w:bCs w:val="1"/>
          <w:rtl w:val="0"/>
        </w:rPr>
        <w:t xml:space="preserve">Bulk-Dosis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Differenz zwischen dem 3,773 MeV BIOS-Lock und dem 9,92 MeV Ziel-Niveau.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Lock:</w:t>
      </w:r>
      <w:r w:rsidDel="00000000" w:rsidR="00000000" w:rsidRPr="00000000">
        <w:rPr>
          <w:rtl w:val="0"/>
        </w:rPr>
        <w:t xml:space="preserve">  Einstellung der toroidalen Krümmung auf  </w:t>
      </w:r>
      <w:r w:rsidDel="00000000" w:rsidR="00000000" w:rsidRPr="00000000">
        <w:rPr>
          <w:b w:val="1"/>
          <w:bCs w:val="1"/>
          <w:rtl w:val="0"/>
        </w:rPr>
        <w:t xml:space="preserve">$\kappa = 0,3870</w:t>
      </w:r>
      <w:r w:rsidDel="00000000" w:rsidR="00000000" w:rsidRPr="00000000">
        <w:rPr>
          <w:rtl w:val="0"/>
        </w:rPr>
        <w:t xml:space="preserve">$ .Die Integrität dieser Koordinaten und der gesamten Kausalkette wurde via  </w:t>
      </w:r>
      <w:r w:rsidDel="00000000" w:rsidR="00000000" w:rsidRPr="00000000">
        <w:rPr>
          <w:b w:val="1"/>
          <w:bCs w:val="1"/>
          <w:rtl w:val="0"/>
        </w:rPr>
        <w:t xml:space="preserve">SHA256-Manifest</w:t>
      </w:r>
      <w:r w:rsidDel="00000000" w:rsidR="00000000" w:rsidRPr="00000000">
        <w:rPr>
          <w:rtl w:val="0"/>
        </w:rPr>
        <w:t xml:space="preserve">  gesichert, um jede nachträgliche Manipulation auszuschließen und die vollständige Auditierbarkeit gemäß FKT-Standard V4.4.4 zu garantieren.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PROVENANCE_COORDINATES_LOCKED | TARGET_GAMMA: 9.92MeV | V4.4.4 ACTIVE. Checkmate. ⬢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