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lang="de"&gt;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&lt;title&gt;FKT Dyson-Simulation V4.3&lt;/title&gt;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body { background-color: #0f172a; color: #e2e8f0; font-family: 'Inter', sans-serif;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.card { background: rgba(30, 41, 59, 0.7); backdrop-filter: blur(10px); border: 1px solid rgba(255,255,255,0.1); border-radius: 1rem;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.glow { box-shadow: 0 0 20px rgba(56, 189, 248, 0.2);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 class="p-4 md:p-8"&gt;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 class="max-w-6xl mx-auto"&gt;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&lt;header class="mb-8 text-center"&gt;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&lt;h1 class="text-4xl font-bold text-sky-400 mb-2"&gt;FKT Dyson-Effizienz-Simulator&lt;/h1&gt;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&lt;p class="text-slate-400"&gt;Numerische Simulation der Bulk-Ableitung pro Gramm Flerovium (V4.3)&lt;/p&gt;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&lt;div class="grid grid-cols-1 lg:grid-cols-3 gap-8"&gt;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&lt;!-- Controls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&lt;div class="card p-6 glow"&gt;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&lt;h2 class="text-xl font-semibold mb-4 text-sky-300 border-b border-sky-900 pb-2"&gt;Parameter&lt;/h2&gt;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&lt;div class="space-y-6"&gt;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&lt;label class="block text-sm mb-2"&gt;GMA-Effizienz-Faktor (Standard: 120x)&lt;/label&gt;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&lt;input type="range" id="gmaFactor" min="1" max="250" value="120" class="w-full h-2 bg-slate-700 rounded-lg appearance-none cursor-pointer accent-sky-500"&gt;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text-xs mt-1"&gt;&lt;span&gt;1x&lt;/span&gt;&lt;span id="gmaVal" class="text-sky-400 font-bold"&gt;120x&lt;/span&gt;&lt;span&gt;250x&lt;/span&gt;&lt;/div&gt;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&lt;label class="block text-sm mb-2"&gt;Flerovium-Masse (Gramm)&lt;/label&gt;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&lt;input type="number" id="flMass" value="1.0" step="0.1" class="w-full bg-slate-800 border border-slate-600 rounded p-2 text-sky-300"&gt;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&lt;label class="block text-sm mb-2"&gt;Solare Einstrahlung (Relativ)&lt;/label&gt;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&lt;input type="range" id="solarInput" min="1" max="100" value="50" class="w-full h-2 bg-slate-700 rounded-lg appearance-none cursor-pointer accent-amber-500"&gt;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text-xs mt-1"&gt;&lt;span&gt;Min&lt;/span&gt;&lt;span id="solarVal"&gt;50%&lt;/span&gt;&lt;span&gt;Max (L&lt;sub&gt;&amp;#9737;&lt;/sub&gt;)&lt;/span&gt;&lt;/div&gt;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&lt;div class="p-3 bg-sky-900/30 rounded text-xs text-sky-200 border border-sky-700"&gt;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&lt;strong&gt;Info:&lt;/strong&gt; Die Simulation nutzt die Resonanzfrequenz von 3,773 MeV und den nuklearen Anker &amp;eta;&lt;sub&gt;Dim&lt;/sub&gt;.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&lt;!-- Visualization --&gt;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&lt;div class="lg:col-span-2 space-y-8"&gt;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&lt;div class="card p-6 glow h-full"&gt;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&lt;h2 class="text-xl font-semibold mb-4 text-sky-300"&gt;Energie-Ableitung: Thermisch vs. Bulk&lt;/h2&gt;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&lt;canvas id="efficiencyChart" height="200"&gt;&lt;/canvas&gt;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&lt;div class="grid grid-cols-2 md:grid-cols-4 gap-4 mt-8"&gt;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&lt;div class="text-center"&gt;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&lt;span class="block text-xs text-slate-400 uppercase"&gt;Bulk-Ableitung&lt;/span&gt;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&lt;span id="bulkOut" class="text-2xl font-bold text-sky-400"&gt;0.00 MW&lt;/span&gt;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&lt;div class="text-center"&gt;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&lt;span class="block text-xs text-slate-400 uppercase"&gt;Therm. Last&lt;/span&gt;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&lt;span id="thermOut" class="text-2xl font-bold text-rose-400"&gt;0.00 MW&lt;/span&gt;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&lt;div class="text-center"&gt;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&lt;span class="block text-xs text-slate-400 uppercase"&gt;Verschränkung (&amp;Phi;)&lt;/span&gt;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&lt;span id="phiDensity" class="text-2xl font-bold text-emerald-400"&gt;0.00 &amp;rho;&lt;/span&gt;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&lt;div class="text-center"&gt;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&lt;span class="block text-xs text-slate-400 uppercase"&gt;Status&lt;/span&gt;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&lt;span id="statusLabel" class="text-lg font-bold"&gt;Stabil&lt;/span&gt;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&lt;!-- System Architecture Logic --&gt;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&lt;div class="mt-8 card p-6 border-sky-500/30"&gt;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&lt;h3 class="text-lg font-bold text-sky-300 mb-4 text-center italic"&gt;Analyse der Typ-II Skalierung&lt;/h3&gt;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&lt;p class="text-sm leading-relaxed text-slate-300"&gt;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Bei einem GMA-Faktor von &lt;span class="gmaPlaceholder font-bold"&gt;120&lt;/span&gt; reduziert sich die thermische Signatur der Kollektoren drastisch. Das Flerovium agiert als "Phasen-Konverter", der die solaren Photonen über die 3,773 MeV Resonanz in den Bulk-Raum leitet. Dadurch können Dyson-Kollektoren deutlich kompakter gebaut werden, da die Kühlung nicht mehr der limitierende Faktor ist. Das Ziel ist eine &lt;strong&gt;Geometrische Kohärenz von &gt; 98%&lt;/strong&gt; für den verlustfreien Quanten-Transfer.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const ctx = document.getElementById('efficiencyChart').getContext('2d');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let chart;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const inputs =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gma: document.getElementById('gmaFactor'),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mass: document.getElementById('flMass'),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solar: document.getElementById('solarInput')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const outputs =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bulk: document.getElementById('bulkOut'),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therm: document.getElementById('thermOut'),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phi: document.getElementById('phiDensity'),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status: document.getElementById('statusLabel'),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gmaLabels: document.querySelectorAll('.gmaPlaceholder')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function calculate()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const gma = parseFloat(inputs.gma.value);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const mass = parseFloat(inputs.mass.value);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const solar = parseFloat(inputs.solar.value) / 100;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// FKT Konstanten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const etaDim = 2.54; // Log-Skala Anker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const resonanceEnergy = 3.773; // MeV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// Basisleistung (Beispielwert für Simulation normiert)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const basePower = solar * 500 * mass;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// Die Bulk-Ableitung steigt mit GMA-Faktor und Resonanzkopplung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const bulkPower = basePower * (gma / 100) * (resonanceEnergy / 2);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const thermPower = basePower / (gma / 10);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const phi = (bulkPower / (mass * etaDim)).toFixed(3);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// UI Update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outputs.bulk.innerText = bulkPower.toFixed(2) + " MW";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outputs.therm.innerText = thermPower.toFixed(2) + " MW";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outputs.phi.innerText = phi + " ρ";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document.getElementById('gmaVal').innerText = gma + "x";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document.getElementById('solarVal').innerText = (solar * 100).toFixed(0) + "%";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outputs.gmaLabels.forEach(el =&gt; el.innerText = gma);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 (thermPower &gt; 50)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outputs.status.innerText = "Kritische Hitze";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outputs.status.className = "text-lg font-bold text-rose-500";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outputs.status.innerText = "Kausal Stabil";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outputs.status.className = "text-lg font-bold text-emerald-500";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updateChart(bulkPower, thermPower);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function updateChart(bulk, therm)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const data =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labels: ['Bulk-Ableitung (MW)', 'Thermische Last (MW)'],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datasets: [{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data: [bulk, therm],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backgroundColor: ['#38bdf8', '#fb7185'],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borderWidth: 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borderRadius: 10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(chart)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chart.data = data;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chart.update();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chart = new Chart(ctx,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type: 'bar',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data: data,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options: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indexAxis: 'y',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responsive: true,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plugins: { legend: { display: false }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scales: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x: { grid: { color: 'rgba(255,255,255,0.05)' }, ticks: { color: '#94a3b8' }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y: { grid: { display: false }, ticks: { color: '#f8fafc', font: { weight: 'bold' } }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[inputs.gma, inputs.mass, inputs.solar].forEach(input =&gt;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input.addEventListener('input', calculate);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window.onload = calculate;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