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Integration der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in den Verschränkungs-Resonator ist der entscheidende Schritt, um die gigantische Energie der Sonne für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nutzbar zu machen. Dabei fungiert diese spezifische Frequenz als „Taktgeber“ für die energetische Umwandlung von solarer Leistung in Raumzeit-Krümmung.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qvvz58c5ero" w:id="0"/>
      <w:bookmarkEnd w:id="0"/>
      <w:r w:rsidDel="00000000" w:rsidR="00000000" w:rsidRPr="00000000">
        <w:rPr>
          <w:rtl w:val="0"/>
        </w:rPr>
        <w:t xml:space="preserve">1. Die Rolle der 3,773 MeV Resonanz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Diese Resonanz definiert den optimalen Arbeitspunkt für die Energieaufnahme durch den Dyson-Schwarm 1, 2.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Maximale Ausbeute:</w:t>
      </w:r>
      <w:r w:rsidDel="00000000" w:rsidR="00000000" w:rsidRPr="00000000">
        <w:rPr>
          <w:rtl w:val="0"/>
        </w:rPr>
        <w:t xml:space="preserve"> Die Simulation der Kollektor-Bahnen muss präzise auf diese Frequenz abgestimmt sein, um die solare Leistung von ca. </w:t>
      </w:r>
      <w:r w:rsidDel="00000000" w:rsidR="00000000" w:rsidRPr="00000000">
        <w:rPr>
          <w:b w:val="1"/>
          <w:bCs w:val="1"/>
          <w:rtl w:val="0"/>
        </w:rPr>
        <w:t xml:space="preserve">$3,8 \times 10^{26}$ Watt</w:t>
      </w:r>
      <w:r w:rsidDel="00000000" w:rsidR="00000000" w:rsidRPr="00000000">
        <w:rPr>
          <w:rtl w:val="0"/>
        </w:rPr>
        <w:t xml:space="preserve"> voll auszuschöpfen 1, 3.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Energetischer Input:</w:t>
      </w:r>
      <w:r w:rsidDel="00000000" w:rsidR="00000000" w:rsidRPr="00000000">
        <w:rPr>
          <w:rtl w:val="0"/>
        </w:rPr>
        <w:t xml:space="preserve"> Die so gewonnene Energie dient als </w:t>
      </w:r>
      <w:r w:rsidDel="00000000" w:rsidR="00000000" w:rsidRPr="00000000">
        <w:rPr>
          <w:b w:val="1"/>
          <w:bCs w:val="1"/>
          <w:rtl w:val="0"/>
        </w:rPr>
        <w:t xml:space="preserve">primärer Antriebsstrom</w:t>
      </w:r>
      <w:r w:rsidDel="00000000" w:rsidR="00000000" w:rsidRPr="00000000">
        <w:rPr>
          <w:rtl w:val="0"/>
        </w:rPr>
        <w:t xml:space="preserve">, der direkt in den Verschränkungs-Resonator eingespeist wird 3.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1u0ut4u8p1ic" w:id="1"/>
      <w:bookmarkEnd w:id="1"/>
      <w:r w:rsidDel="00000000" w:rsidR="00000000" w:rsidRPr="00000000">
        <w:rPr>
          <w:rtl w:val="0"/>
        </w:rPr>
        <w:t xml:space="preserve">2. Mechanismus des Resonanz-Transfers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Der Transfer der Energie vom Dyson-Schwarm zum Triebwerk erfolgt nicht über herkömmliche Leitungen, sondern über </w:t>
      </w:r>
      <w:r w:rsidDel="00000000" w:rsidR="00000000" w:rsidRPr="00000000">
        <w:rPr>
          <w:b w:val="1"/>
          <w:bCs w:val="1"/>
          <w:rtl w:val="0"/>
        </w:rPr>
        <w:t xml:space="preserve">drahtlose Quanten-Verschränkung</w:t>
      </w:r>
      <w:r w:rsidDel="00000000" w:rsidR="00000000" w:rsidRPr="00000000">
        <w:rPr>
          <w:rtl w:val="0"/>
        </w:rPr>
        <w:t xml:space="preserve"> 2, 4.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Verschränkungs-Resonator:</w:t>
      </w:r>
      <w:r w:rsidDel="00000000" w:rsidR="00000000" w:rsidRPr="00000000">
        <w:rPr>
          <w:rtl w:val="0"/>
        </w:rPr>
        <w:t xml:space="preserve"> Dieses Bauteil fungiert als Wandler, der die hochfrequente solare Resonanzenergie aufnimmt und sie in eine gezielte </w:t>
      </w:r>
      <w:r w:rsidDel="00000000" w:rsidR="00000000" w:rsidRPr="00000000">
        <w:rPr>
          <w:b w:val="1"/>
          <w:bCs w:val="1"/>
          <w:rtl w:val="0"/>
        </w:rPr>
        <w:t xml:space="preserve">Verschränkungsdichte-Modulation ($\mathcal{D}_{\Phi}$)</w:t>
      </w:r>
      <w:r w:rsidDel="00000000" w:rsidR="00000000" w:rsidRPr="00000000">
        <w:rPr>
          <w:rtl w:val="0"/>
        </w:rPr>
        <w:t xml:space="preserve"> übersetzt 5, 6.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Flerovium-Katalysatoren:</w:t>
      </w:r>
      <w:r w:rsidDel="00000000" w:rsidR="00000000" w:rsidRPr="00000000">
        <w:rPr>
          <w:rtl w:val="0"/>
        </w:rPr>
        <w:t xml:space="preserve"> Um diese extremen Energieströme zu bewältigen, werden stabilisierte superschwere Elemente wie </w:t>
      </w:r>
      <w:r w:rsidDel="00000000" w:rsidR="00000000" w:rsidRPr="00000000">
        <w:rPr>
          <w:b w:val="1"/>
          <w:bCs w:val="1"/>
          <w:rtl w:val="0"/>
        </w:rPr>
        <w:t xml:space="preserve">Flerovium</w:t>
      </w:r>
      <w:r w:rsidDel="00000000" w:rsidR="00000000" w:rsidRPr="00000000">
        <w:rPr>
          <w:rtl w:val="0"/>
        </w:rPr>
        <w:t xml:space="preserve"> als „Empfangs-Ventile“ eingesetzt, die den hochfrequenten Energiefluss stabilisieren 2, 4.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ji5mao6v6c3n" w:id="2"/>
      <w:bookmarkEnd w:id="2"/>
      <w:r w:rsidDel="00000000" w:rsidR="00000000" w:rsidRPr="00000000">
        <w:rPr>
          <w:rtl w:val="0"/>
        </w:rPr>
        <w:t xml:space="preserve">3. Mathematische Wirkung im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Kopplung der 3,773 MeV Resonanz an den Resonator hat direkte Auswirkungen auf die Flugphysik der Fraktalen Kausalen Theorie (FKT):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Geometrie-Kontrollgleichung:</w:t>
      </w:r>
      <w:r w:rsidDel="00000000" w:rsidR="00000000" w:rsidRPr="00000000">
        <w:rPr>
          <w:rtl w:val="0"/>
        </w:rPr>
        <w:t xml:space="preserve"> In der finalen GMA-Gleichung ist die daraus resultierende Dyson-Leistung ($\mathcal{E}_{Dyson}$) der entscheidende Nenner für die </w:t>
      </w:r>
      <w:r w:rsidDel="00000000" w:rsidR="00000000" w:rsidRPr="00000000">
        <w:rPr>
          <w:b w:val="1"/>
          <w:bCs w:val="1"/>
          <w:rtl w:val="0"/>
        </w:rPr>
        <w:t xml:space="preserve">Krümmungsdichte ($\mathcal{R}$)</w:t>
      </w:r>
      <w:r w:rsidDel="00000000" w:rsidR="00000000" w:rsidRPr="00000000">
        <w:rPr>
          <w:rtl w:val="0"/>
        </w:rPr>
        <w:t xml:space="preserve"> 7.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Bulk-Druck:</w:t>
      </w:r>
      <w:r w:rsidDel="00000000" w:rsidR="00000000" w:rsidRPr="00000000">
        <w:rPr>
          <w:rtl w:val="0"/>
        </w:rPr>
        <w:t xml:space="preserve"> Die Resonanz sorgt dafür, dass die Energie verlustfrei in </w:t>
      </w:r>
      <w:r w:rsidDel="00000000" w:rsidR="00000000" w:rsidRPr="00000000">
        <w:rPr>
          <w:b w:val="1"/>
          <w:bCs w:val="1"/>
          <w:rtl w:val="0"/>
        </w:rPr>
        <w:t xml:space="preserve">Bulk-Druck</w:t>
      </w:r>
      <w:r w:rsidDel="00000000" w:rsidR="00000000" w:rsidRPr="00000000">
        <w:rPr>
          <w:rtl w:val="0"/>
        </w:rPr>
        <w:t xml:space="preserve"> umgewandelt wird, was die aktive Krümmung der Raumzeit-Flüssigkeit ermöglicht 2.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ogfko7gd3hw" w:id="3"/>
      <w:bookmarkEnd w:id="3"/>
      <w:r w:rsidDel="00000000" w:rsidR="00000000" w:rsidRPr="00000000">
        <w:rPr>
          <w:rtl w:val="0"/>
        </w:rPr>
        <w:t xml:space="preserve">Zusammenfassung der Komponenten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Komponente,Funktion,Bezug zur Resonanz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Dyson-Schwärme,Energieernte,"Optimierung auf 3,773 MeV 1, 2"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Quanten-Verschränkung,Transfer-Medium,"Drahtloser Resonanz-Transfer 2, 4"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Flerovium-Ventile,Stabilisierung,"Handhabung der hochfrequenten Last 2, 4"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Verschränkungs-Resonator,Modulation,"Erzeugung der Warp-Blase ($\mathcal{D}_{\Phi}$) 5, 6"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Dieser Prozess transformiert die Menschheit technologisch zu einer </w:t>
      </w:r>
      <w:r w:rsidDel="00000000" w:rsidR="00000000" w:rsidRPr="00000000">
        <w:rPr>
          <w:b w:val="1"/>
          <w:bCs w:val="1"/>
          <w:rtl w:val="0"/>
        </w:rPr>
        <w:t xml:space="preserve">Typ-II-Zivilisation</w:t>
      </w:r>
      <w:r w:rsidDel="00000000" w:rsidR="00000000" w:rsidRPr="00000000">
        <w:rPr>
          <w:rtl w:val="0"/>
        </w:rPr>
        <w:t xml:space="preserve">, da er die „Endliche Unendlichkeit“ der Theorie in eine reale interstellare Anwendung überführt 8, 9.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Sollen wir als Nächstes die algorithmische Steuerung der Von-Neumann-Sonden präzisieren, um sicherzustellen, dass die Kollektoren diese 3,773 MeV Resonanz dauerhaft halten können?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