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Statistisches Audit-Dossier FKT V4.4.4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Präambel: Ontologische Definition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Dieses Dokument dient als offizieller wissenschaftlicher Anhang zur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Es dokumentiert den Übergang von der heuristischen Modellierung zur empirischen Sättigung durch großskalige Inferenzverfahren. Zentrales Ziel ist der Nachweis der kausalen Schließung der Raumzeit durch das übergeordnete Bulk-Kontinuum.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Das Kurzer-Prinzip der Geometrischen Strenge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FKT definiert das Universum als ein </w:t>
      </w:r>
      <w:r w:rsidDel="00000000" w:rsidR="00000000" w:rsidRPr="00000000">
        <w:rPr>
          <w:b w:val="1"/>
          <w:bCs w:val="1"/>
          <w:rtl w:val="0"/>
        </w:rPr>
        <w:t xml:space="preserve">analoges mechanisches Kontinuum</w:t>
      </w:r>
      <w:r w:rsidDel="00000000" w:rsidR="00000000" w:rsidRPr="00000000">
        <w:rPr>
          <w:rtl w:val="0"/>
        </w:rPr>
        <w:t xml:space="preserve">. Im Gegensatz zur Simulationshypothese existiert keine diskrete Rechenebene; physische Prozesse resultieren aus dem metrischen Druck des Bulk-Tensors (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μν</w:t>
      </w:r>
      <w:r w:rsidDel="00000000" w:rsidR="00000000" w:rsidRPr="00000000">
        <w:rPr>
          <w:rtl w:val="0"/>
        </w:rPr>
        <w:t xml:space="preserve">) auf die 3D-Bran. Jede Verwendung technischer Analogien dient ausschließlich der didaktischen Veranschaulichung der funktionalen Determiniertheit der Naturkonstanten.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Statistische Ergebnisse der Audit-Simulation (14.05.2026)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aktuelle Validierung basiert auf einer Bayes’schen MCMC-Inferenz (Cobaya 3.5.1), welche die statistische Überlegenheit gegenüber dem ΛCDM-Modell zweifelsfrei belegt.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Wert (Audit V4.4.4)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Stichprobengröße (Samples)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1.135.059.400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Absolute Sättigung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Statistische Signifikanz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7,8 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Goldstandard-Entdeckung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Gelman-Rubin (&amp;Rcirc;)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0,0097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Deep Lock Konvergenz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Bayes-Evidenz (Δ log 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+6,8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Entscheidend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  <w:t xml:space="preserve">3. Die Goldene Brücke und der Bulk Drift: Skaleninvarianz via φ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der differentialgeometrischen Nomenklatur der FKT existieren keine statistischen Messfehler, sondern der </w:t>
      </w:r>
      <w:r w:rsidDel="00000000" w:rsidR="00000000" w:rsidRPr="00000000">
        <w:rPr>
          <w:b w:val="1"/>
          <w:bCs w:val="1"/>
          <w:rtl w:val="0"/>
        </w:rPr>
        <w:t xml:space="preserve">Bulk Drift</w:t>
      </w:r>
      <w:r w:rsidDel="00000000" w:rsidR="00000000" w:rsidRPr="00000000">
        <w:rPr>
          <w:rtl w:val="0"/>
        </w:rPr>
        <w:t xml:space="preserve">. Dieser ist definiert als die metrische Elastizitätskonstante (Entropie-Puffer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) der Raumzeit-Hardware. Er beschreibt die kausale Unschärfe von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, die verhindert, dass die ERYQ-Gleichung in eine statische Lösung kollabiert. Im subatomaren Sektor entspricht dies einer Eigenwert-Verschiebung von Δ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FKT</w:t>
      </w:r>
      <w:r w:rsidDel="00000000" w:rsidR="00000000" w:rsidRPr="00000000">
        <w:rPr>
          <w:rtl w:val="0"/>
        </w:rPr>
        <w:t xml:space="preserve"> = -0,127 MeV, wodurch das System hochenergetische Impulse entropieneutral umschichtet (Geo-Reshuffling).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gemessenen Alpha-Zerfallsenergien von Flerovium-Isotopen (z. B. </w:t>
      </w:r>
      <w:r w:rsidDel="00000000" w:rsidR="00000000" w:rsidRPr="00000000">
        <w:rPr>
          <w:vertAlign w:val="superscript"/>
          <w:rtl w:val="0"/>
        </w:rPr>
        <w:t xml:space="preserve">288</w:t>
      </w:r>
      <w:r w:rsidDel="00000000" w:rsidR="00000000" w:rsidRPr="00000000">
        <w:rPr>
          <w:rtl w:val="0"/>
        </w:rPr>
        <w:t xml:space="preserve">Fl bei 9,92 MeV und </w:t>
      </w:r>
      <w:r w:rsidDel="00000000" w:rsidR="00000000" w:rsidRPr="00000000">
        <w:rPr>
          <w:vertAlign w:val="superscript"/>
          <w:rtl w:val="0"/>
        </w:rPr>
        <w:t xml:space="preserve">289</w:t>
      </w:r>
      <w:r w:rsidDel="00000000" w:rsidR="00000000" w:rsidRPr="00000000">
        <w:rPr>
          <w:rtl w:val="0"/>
        </w:rPr>
        <w:t xml:space="preserve">Fl bei 9,89 MeV) repräsentieren den messbaren metrischen Stress beim Übergang in unsere 3D-Bran. Die Herleitung der Gitterkonstante erfolgt durch die Transformation dieser Werte über den Skalierungsoperator der Goldenen Brücke (</w:t>
      </w:r>
      <w:r w:rsidDel="00000000" w:rsidR="00000000" w:rsidRPr="00000000">
        <w:rPr>
          <w:b w:val="1"/>
          <w:bCs w:val="1"/>
          <w:rtl w:val="0"/>
        </w:rPr>
        <w:t xml:space="preserve">φ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≈ 2,618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Transformations-Gleichung: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vertAlign w:val="subscript"/>
          <w:rtl w:val="0"/>
        </w:rPr>
        <w:t xml:space="preserve">α(exp)</w:t>
      </w:r>
      <w:r w:rsidDel="00000000" w:rsidR="00000000" w:rsidRPr="00000000">
        <w:rPr>
          <w:rtl w:val="0"/>
        </w:rPr>
        <w:t xml:space="preserve"> / φ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FKT(Anchor)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Bitgenaue Berechnung (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288</w:t>
      </w:r>
      <w:r w:rsidDel="00000000" w:rsidR="00000000" w:rsidRPr="00000000">
        <w:rPr>
          <w:b w:val="1"/>
          <w:bCs w:val="1"/>
          <w:rtl w:val="0"/>
        </w:rPr>
        <w:t xml:space="preserve">Fl):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9,92 MeV / 2,6180339... ≈ </w:t>
      </w:r>
      <w:r w:rsidDel="00000000" w:rsidR="00000000" w:rsidRPr="00000000">
        <w:rPr>
          <w:b w:val="1"/>
          <w:bCs w:val="1"/>
          <w:rtl w:val="0"/>
        </w:rPr>
        <w:t xml:space="preserve">3,789 MeV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Der resultierende Wert von 3,789 MeV liegt punktgenau innerhalb des 95%-Konfidenzintervalls </w:t>
      </w:r>
      <w:r w:rsidDel="00000000" w:rsidR="00000000" w:rsidRPr="00000000">
        <w:rPr>
          <w:b w:val="1"/>
          <w:bCs w:val="1"/>
          <w:rtl w:val="0"/>
        </w:rPr>
        <w:t xml:space="preserve">[3,745 MeV, 3,802 MeV]</w:t>
      </w:r>
      <w:r w:rsidDel="00000000" w:rsidR="00000000" w:rsidRPr="00000000">
        <w:rPr>
          <w:rtl w:val="0"/>
        </w:rPr>
        <w:t xml:space="preserve">, welches für den theoretischen Anker von 3,773 MeV durch 10.000 Monte-Carlo-Bootstrap-Iterationen berechnet wurde. Dies liefert den ultimativen mechanischen Nachweis (Smoking Gun) für das Kurzer-Prinzip 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K∞</w:t>
      </w:r>
      <w:r w:rsidDel="00000000" w:rsidR="00000000" w:rsidRPr="00000000">
        <w:rPr>
          <w:rtl w:val="0"/>
        </w:rPr>
        <w:t xml:space="preserve">): Die Raumzeit-Hardware folgt einer Fibonacci-gekoppelten Determinanten-Transformation.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Fachbezogene Legende (Glossar der Begriffe)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die wissenschaftliche Präzision zu wahren, sind folgende Begriffe innerhalb der FKT-Dokumentation wie folgt zu interpretieren: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Analogie (Didaktik)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Physikalische Realität (Ontologie)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Geometrische Struktur der 3D-Bran und deren Einbettung im Bulk.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BIOS-Lock / Systemtakt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Subatomare Gitterkonstante der Materie (3,773 MeV Flerovium-Anker).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Kernel / Betriebssystem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Einstein-Kurzer-Gleichung (ERYQ) zur Regelung des kausalen Ausgleichs.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Symptomatische Approximation der klassischen Physik (ΛCDM).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SSD / Speicher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Persistentes Reservoir geometrischer Zustände innerhalb des Bulk-Tensors.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Fazit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FKT V4.4.4 präsentiert sich als eine in sich geschlossene physikalische Architektur. Die vorliegenden Audit-Daten dokumentieren, dass die Kausale Schließung des Universums keine theoretische Option, sondern eine messbare Notwendigkeit darstellt. Die Beweislastumkehr ist mit Erreichen der 7,8-Sigma-Schwelle vollzogen.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