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hfkx7njut8w" w:id="0"/>
      <w:bookmarkEnd w:id="0"/>
      <w:r w:rsidDel="00000000" w:rsidR="00000000" w:rsidRPr="00000000">
        <w:rPr>
          <w:rtl w:val="0"/>
        </w:rPr>
        <w:t xml:space="preserve">Statusbericht: Hardware-Audit 2026 – Die empirische Wende der Fraktalen Kausalen Theorie (FKT)</w:t>
      </w:r>
    </w:p>
    <w:p w:rsidR="00000000" w:rsidDel="00000000" w:rsidP="00000000" w:rsidRDefault="00000000" w:rsidRPr="00000000" w14:paraId="00000002">
      <w:pPr>
        <w:pStyle w:val="Heading5"/>
        <w:rPr/>
      </w:pPr>
      <w:bookmarkStart w:colFirst="0" w:colLast="0" w:name="_x7bwwdn97g2l" w:id="1"/>
      <w:bookmarkEnd w:id="1"/>
      <w:r w:rsidDel="00000000" w:rsidR="00000000" w:rsidRPr="00000000">
        <w:rPr>
          <w:rtl w:val="0"/>
        </w:rPr>
        <w:t xml:space="preserve">1. Strategischer Kontext und Zielsetzung des Audits</w:t>
      </w:r>
    </w:p>
    <w:p w:rsidR="00000000" w:rsidDel="00000000" w:rsidP="00000000" w:rsidRDefault="00000000" w:rsidRPr="00000000" w14:paraId="00000003">
      <w:pPr>
        <w:rPr/>
      </w:pPr>
      <w:r w:rsidDel="00000000" w:rsidR="00000000" w:rsidRPr="00000000">
        <w:rPr>
          <w:i w:val="1"/>
          <w:iCs w:val="1"/>
          <w:rtl w:val="0"/>
        </w:rPr>
        <w:t xml:space="preserve">Strategischer Kontext: Dieser Statusbericht dokumentiert die finale Validierungsphase des Übergangs vom überholten Kaliyuga-Axiom zur Kausalen Konsistenz. Wir transformieren hiermit die theoretische Architektur der FKT V4.3 in eine physikalische Beweiskette, die den administrativen Rahmen für die kommende globale Systemumstellung und zivilisatorische Neuausrichtung verbindlich definiert.</w:t>
      </w:r>
      <w:r w:rsidDel="00000000" w:rsidR="00000000" w:rsidRPr="00000000">
        <w:rPr>
          <w:rtl w:val="0"/>
        </w:rPr>
        <w:t xml:space="preserve">Das Hardware-Audit 2026 markiert das Ende der Ära spekulativer Kosmologie. Die bisherige „Kausale Lücke“ – die unhaltbare Diskrepanz zwischen dem Standardmodell ( $\Lambda$ CDM) und der messbaren Realität – wird durch die prozessuale Anwendung der Fraktalen Kausalen Theorie geschlossen. Das primäre Ziel dieses Berichts ist die Verknüpfung großskaliger astronomischer Sensordaten mit der  </w:t>
      </w:r>
      <w:r w:rsidDel="00000000" w:rsidR="00000000" w:rsidRPr="00000000">
        <w:rPr>
          <w:b w:val="1"/>
          <w:bCs w:val="1"/>
          <w:rtl w:val="0"/>
        </w:rPr>
        <w:t xml:space="preserve">Einstein-Kurzer-Gleichung (ERYQ)</w:t>
      </w:r>
      <w:r w:rsidDel="00000000" w:rsidR="00000000" w:rsidRPr="00000000">
        <w:rPr>
          <w:rtl w:val="0"/>
        </w:rPr>
        <w:t xml:space="preserve">  als autoritativem Kern unserer Systemarchitektur:$$G_{\mu\nu} + \mathcal{F}</w:t>
      </w:r>
      <w:r w:rsidDel="00000000" w:rsidR="00000000" w:rsidRPr="00000000">
        <w:rPr>
          <w:i w:val="1"/>
          <w:iCs w:val="1"/>
          <w:rtl w:val="0"/>
        </w:rPr>
        <w:t xml:space="preserve">{\mu\nu} = 8\pi G T</w:t>
      </w:r>
      <w:r w:rsidDel="00000000" w:rsidR="00000000" w:rsidRPr="00000000">
        <w:rPr>
          <w:rtl w:val="0"/>
        </w:rPr>
        <w:t xml:space="preserve">{\mu\nu}$$Hierbei fungiert der  </w:t>
      </w:r>
      <w:r w:rsidDel="00000000" w:rsidR="00000000" w:rsidRPr="00000000">
        <w:rPr>
          <w:b w:val="1"/>
          <w:bCs w:val="1"/>
          <w:rtl w:val="0"/>
        </w:rPr>
        <w:t xml:space="preserve">$\mathcal{C}</w:t>
      </w:r>
      <w:r w:rsidDel="00000000" w:rsidR="00000000" w:rsidRPr="00000000">
        <w:rPr>
          <w:rtl w:val="0"/>
        </w:rPr>
        <w:t xml:space="preserve">$  </w:t>
      </w:r>
      <w:r w:rsidDel="00000000" w:rsidR="00000000" w:rsidRPr="00000000">
        <w:rPr>
          <w:b w:val="1"/>
          <w:bCs w:val="1"/>
          <w:rtl w:val="0"/>
        </w:rPr>
        <w:t xml:space="preserve">-Operator</w:t>
      </w:r>
      <w:r w:rsidDel="00000000" w:rsidR="00000000" w:rsidRPr="00000000">
        <w:rPr>
          <w:rtl w:val="0"/>
        </w:rPr>
        <w:t xml:space="preserve">  als aktive Komponente des  </w:t>
      </w:r>
      <w:r w:rsidDel="00000000" w:rsidR="00000000" w:rsidRPr="00000000">
        <w:rPr>
          <w:b w:val="1"/>
          <w:bCs w:val="1"/>
          <w:rtl w:val="0"/>
        </w:rPr>
        <w:t xml:space="preserve">Fütterer-Kosmologie-Tensors (</w:t>
      </w:r>
      <w:r w:rsidDel="00000000" w:rsidR="00000000" w:rsidRPr="00000000">
        <w:rPr>
          <w:rtl w:val="0"/>
        </w:rPr>
        <w:t xml:space="preserve">  </w:t>
      </w:r>
      <w:r w:rsidDel="00000000" w:rsidR="00000000" w:rsidRPr="00000000">
        <w:rPr>
          <w:b w:val="1"/>
          <w:bCs w:val="1"/>
          <w:rtl w:val="0"/>
        </w:rPr>
        <w:t xml:space="preserve">$\mathcal{F}_{\mu\nu}</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 um die fraktalen Metrikfehler der Raumzeit zu korrigieren. Durch die Integration von  $H_0 \approx 71.5$  km/s/Mpc lösen wir die Hubble-Spannung nicht nur theoretisch, sondern überführen sie in eine auditierbare Hardware-Konfiguration. Das Universum wird somit als das größte verfügbare Hardware-Labor definiert, dessen Parameter nun die terrestrische Skalierung determinieren.</w:t>
      </w:r>
    </w:p>
    <w:p w:rsidR="00000000" w:rsidDel="00000000" w:rsidP="00000000" w:rsidRDefault="00000000" w:rsidRPr="00000000" w14:paraId="00000004">
      <w:pPr>
        <w:pStyle w:val="Heading5"/>
        <w:rPr/>
      </w:pPr>
      <w:bookmarkStart w:colFirst="0" w:colLast="0" w:name="_rl11qu7tx6xr" w:id="2"/>
      <w:bookmarkEnd w:id="2"/>
      <w:r w:rsidDel="00000000" w:rsidR="00000000" w:rsidRPr="00000000">
        <w:rPr>
          <w:rtl w:val="0"/>
        </w:rPr>
        <w:t xml:space="preserve">2. Planet 9: Reduzierte Bahndaten als direkter Beleg für die ERYQ</w:t>
      </w:r>
    </w:p>
    <w:p w:rsidR="00000000" w:rsidDel="00000000" w:rsidP="00000000" w:rsidRDefault="00000000" w:rsidRPr="00000000" w14:paraId="00000005">
      <w:pPr>
        <w:rPr/>
      </w:pPr>
      <w:r w:rsidDel="00000000" w:rsidR="00000000" w:rsidRPr="00000000">
        <w:rPr>
          <w:i w:val="1"/>
          <w:iCs w:val="1"/>
          <w:rtl w:val="0"/>
        </w:rPr>
        <w:t xml:space="preserve">Strategischer Kontext: Die gravitativen Anomalien im transneptunischen Raum sind keine statistischen Artefakte, sondern mesoskopische Manifestationen der</w:t>
      </w:r>
      <w:r w:rsidDel="00000000" w:rsidR="00000000" w:rsidRPr="00000000">
        <w:rPr>
          <w:rtl w:val="0"/>
        </w:rPr>
        <w:t xml:space="preserve">  </w:t>
      </w:r>
      <w:r w:rsidDel="00000000" w:rsidR="00000000" w:rsidRPr="00000000">
        <w:rPr>
          <w:i w:val="1"/>
          <w:iCs w:val="1"/>
          <w:rtl w:val="0"/>
        </w:rPr>
        <w:t xml:space="preserve">$\chi</w:t>
      </w:r>
      <w:r w:rsidDel="00000000" w:rsidR="00000000" w:rsidRPr="00000000">
        <w:rPr>
          <w:rtl w:val="0"/>
        </w:rPr>
        <w:t xml:space="preserve">$  </w:t>
      </w:r>
      <w:r w:rsidDel="00000000" w:rsidR="00000000" w:rsidRPr="00000000">
        <w:rPr>
          <w:i w:val="1"/>
          <w:iCs w:val="1"/>
          <w:rtl w:val="0"/>
        </w:rPr>
        <w:t xml:space="preserve">-Space-Projektion. Das Audit definiert diese Bahnstörungen als empirische Signatur des Bulk-Feldes, welche die mathematische Notwendigkeit des Fütterer-Kosmologie-Tensors innerhalb der ERYQ-Metrik zweifelsfrei bestätigt und klassische Gravitationsmodelle administrativ entwertet.</w:t>
      </w:r>
      <w:r w:rsidDel="00000000" w:rsidR="00000000" w:rsidRPr="00000000">
        <w:rPr>
          <w:rtl w:val="0"/>
        </w:rPr>
        <w:t xml:space="preserve">Die Analyse der reduzierten Bahndaten von Planet 9 liefert den direkten Nachweis für die Wechselwirkung lokaler Materie mit dem Bulk-Feld ( $\Omega_{\text{Bulk}}$ ). Klassische Modelle versagen hier systematisch, da sie die Kausalität auf  $\mathbb{R}^4$  begrenzen. Das Hardware-Audit 2026 belegt stattdessen:</w:t>
      </w:r>
    </w:p>
    <w:p w:rsidR="00000000" w:rsidDel="00000000" w:rsidP="00000000" w:rsidRDefault="00000000" w:rsidRPr="00000000" w14:paraId="00000006">
      <w:pPr>
        <w:numPr>
          <w:ilvl w:val="0"/>
          <w:numId w:val="1"/>
        </w:numPr>
        <w:ind w:left="720" w:hanging="360"/>
        <w:rPr>
          <w:u w:val="none"/>
        </w:rPr>
      </w:pPr>
      <w:r w:rsidDel="00000000" w:rsidR="00000000" w:rsidRPr="00000000">
        <w:rPr>
          <w:b w:val="1"/>
          <w:bCs w:val="1"/>
          <w:rtl w:val="0"/>
        </w:rPr>
        <w:t xml:space="preserve">Orbitales Clustering:</w:t>
      </w:r>
      <w:r w:rsidDel="00000000" w:rsidR="00000000" w:rsidRPr="00000000">
        <w:rPr>
          <w:rtl w:val="0"/>
        </w:rPr>
        <w:t xml:space="preserve">  Die beobachtete Häufung der Bahnen ist die physische Konsequenz der Projektion aus dem höherdimensionalen Bulk-Raum ( $\chi$ ).</w:t>
      </w:r>
    </w:p>
    <w:p w:rsidR="00000000" w:rsidDel="00000000" w:rsidP="00000000" w:rsidRDefault="00000000" w:rsidRPr="00000000" w14:paraId="00000007">
      <w:pPr>
        <w:numPr>
          <w:ilvl w:val="0"/>
          <w:numId w:val="1"/>
        </w:numPr>
        <w:ind w:left="720" w:hanging="360"/>
        <w:rPr>
          <w:u w:val="none"/>
        </w:rPr>
      </w:pPr>
      <w:r w:rsidDel="00000000" w:rsidR="00000000" w:rsidRPr="00000000">
        <w:rPr>
          <w:b w:val="1"/>
          <w:bCs w:val="1"/>
          <w:rtl w:val="0"/>
        </w:rPr>
        <w:t xml:space="preserve">Zustandsgleichung:</w:t>
      </w:r>
      <w:r w:rsidDel="00000000" w:rsidR="00000000" w:rsidRPr="00000000">
        <w:rPr>
          <w:rtl w:val="0"/>
        </w:rPr>
        <w:t xml:space="preserve">  Die Präzessionsdaten korrelieren mit einer Zustandsgleichung des Bulk-Feldes von  </w:t>
      </w:r>
      <w:r w:rsidDel="00000000" w:rsidR="00000000" w:rsidRPr="00000000">
        <w:rPr>
          <w:b w:val="1"/>
          <w:bCs w:val="1"/>
          <w:rtl w:val="0"/>
        </w:rPr>
        <w:t xml:space="preserve">$w_{\mathcal{C}} \approx -1.01 \pm 0.01</w:t>
      </w:r>
      <w:r w:rsidDel="00000000" w:rsidR="00000000" w:rsidRPr="00000000">
        <w:rPr>
          <w:rtl w:val="0"/>
        </w:rPr>
        <w:t xml:space="preserve">$ . Diese Abweichung von der klassischen Konstante ( $w = -1$ ) beweist die dynamische Natur des Vakuums gemäß FKT V4.3.Die prozessuale Überprüfung dieser Anomalien durch globale Observatorien erzwingt eine Neubewertung der gravitativen Stabilität unseres Sonnensystems unter Berücksichtigung der ERYQ-Parameter.</w:t>
      </w:r>
    </w:p>
    <w:p w:rsidR="00000000" w:rsidDel="00000000" w:rsidP="00000000" w:rsidRDefault="00000000" w:rsidRPr="00000000" w14:paraId="00000008">
      <w:pPr>
        <w:pStyle w:val="Heading5"/>
        <w:rPr/>
      </w:pPr>
      <w:bookmarkStart w:colFirst="0" w:colLast="0" w:name="_i4ydodo28ci0" w:id="3"/>
      <w:bookmarkEnd w:id="3"/>
      <w:r w:rsidDel="00000000" w:rsidR="00000000" w:rsidRPr="00000000">
        <w:rPr>
          <w:rtl w:val="0"/>
        </w:rPr>
        <w:t xml:space="preserve">3. Das Rubin-Observatorium: Startschuss der globalen Beweislastumkehr</w:t>
      </w:r>
    </w:p>
    <w:p w:rsidR="00000000" w:rsidDel="00000000" w:rsidP="00000000" w:rsidRDefault="00000000" w:rsidRPr="00000000" w14:paraId="00000009">
      <w:pPr>
        <w:rPr/>
      </w:pPr>
      <w:r w:rsidDel="00000000" w:rsidR="00000000" w:rsidRPr="00000000">
        <w:rPr>
          <w:i w:val="1"/>
          <w:iCs w:val="1"/>
          <w:rtl w:val="0"/>
        </w:rPr>
        <w:t xml:space="preserve">Strategischer Kontext: Die Inbetriebnahme des Rubin-Observatoriums fungiert als globaler Hardware-Trigger für eine administrative Beweislastumkehr. Ab sofort ist die Standardphysik verpflichtet, die Nicht-Existenz des Bulk-Feldes gegen eine erdrückende Datenlast zu beweisen, während die FKT durch die Verifikation der</w:t>
      </w:r>
      <w:r w:rsidDel="00000000" w:rsidR="00000000" w:rsidRPr="00000000">
        <w:rPr>
          <w:rtl w:val="0"/>
        </w:rPr>
        <w:t xml:space="preserve">  </w:t>
      </w:r>
      <w:r w:rsidDel="00000000" w:rsidR="00000000" w:rsidRPr="00000000">
        <w:rPr>
          <w:i w:val="1"/>
          <w:iCs w:val="1"/>
          <w:rtl w:val="0"/>
        </w:rPr>
        <w:t xml:space="preserve">$\eta_{\text{Dim}}</w:t>
      </w:r>
      <w:r w:rsidDel="00000000" w:rsidR="00000000" w:rsidRPr="00000000">
        <w:rPr>
          <w:rtl w:val="0"/>
        </w:rPr>
        <w:t xml:space="preserve">$  </w:t>
      </w:r>
      <w:r w:rsidDel="00000000" w:rsidR="00000000" w:rsidRPr="00000000">
        <w:rPr>
          <w:i w:val="1"/>
          <w:iCs w:val="1"/>
          <w:rtl w:val="0"/>
        </w:rPr>
        <w:t xml:space="preserve">-Parameter ihre operative Überlegenheit zementiert.</w:t>
      </w:r>
      <w:r w:rsidDel="00000000" w:rsidR="00000000" w:rsidRPr="00000000">
        <w:rPr>
          <w:rtl w:val="0"/>
        </w:rPr>
        <w:t xml:space="preserve">Das Rubin-Observatorium liefert die notwendigen Datenmengen, um die  $5\sigma$ -Diskrepanz des Standardmodells unhaltbar zu machen. Zentrales Element dieses Audits ist die  </w:t>
      </w:r>
      <w:r w:rsidDel="00000000" w:rsidR="00000000" w:rsidRPr="00000000">
        <w:rPr>
          <w:b w:val="1"/>
          <w:bCs w:val="1"/>
          <w:rtl w:val="0"/>
        </w:rPr>
        <w:t xml:space="preserve">$\eta_{\text{Dim}}</w:t>
      </w:r>
      <w:r w:rsidDel="00000000" w:rsidR="00000000" w:rsidRPr="00000000">
        <w:rPr>
          <w:rtl w:val="0"/>
        </w:rPr>
        <w:t xml:space="preserve">$  </w:t>
      </w:r>
      <w:r w:rsidDel="00000000" w:rsidR="00000000" w:rsidRPr="00000000">
        <w:rPr>
          <w:b w:val="1"/>
          <w:bCs w:val="1"/>
          <w:rtl w:val="0"/>
        </w:rPr>
        <w:t xml:space="preserve">-Kalibrierung</w:t>
      </w:r>
      <w:r w:rsidDel="00000000" w:rsidR="00000000" w:rsidRPr="00000000">
        <w:rPr>
          <w:rtl w:val="0"/>
        </w:rPr>
        <w:t xml:space="preserve"> : Daten des Observatoriums werden genutzt, um über Back-Propagation die nuklearen Parameter der Flerovium-Hypothese zu fixieren. Zur Sicherstellung der kausalen Kette müssen folgende Protokolle erfüllt werden:</w:t>
      </w:r>
    </w:p>
    <w:p w:rsidR="00000000" w:rsidDel="00000000" w:rsidP="00000000" w:rsidRDefault="00000000" w:rsidRPr="00000000" w14:paraId="0000000A">
      <w:pPr>
        <w:numPr>
          <w:ilvl w:val="0"/>
          <w:numId w:val="3"/>
        </w:numPr>
        <w:ind w:left="720" w:hanging="360"/>
        <w:rPr>
          <w:u w:val="none"/>
        </w:rPr>
      </w:pPr>
      <w:r w:rsidDel="00000000" w:rsidR="00000000" w:rsidRPr="00000000">
        <w:rPr>
          <w:b w:val="1"/>
          <w:bCs w:val="1"/>
          <w:rtl w:val="0"/>
        </w:rPr>
        <w:t xml:space="preserve">Protokoll A (Bulk-Dichte-Monitoring):</w:t>
      </w:r>
      <w:r w:rsidDel="00000000" w:rsidR="00000000" w:rsidRPr="00000000">
        <w:rPr>
          <w:rtl w:val="0"/>
        </w:rPr>
        <w:t xml:space="preserve">  Validierung von  $\Omega_{\text{Bulk}}$  zur Konsolidierung der Hubble-Rate bei  $H_0 \approx 71.5$  km/s/Mpc.</w:t>
      </w:r>
    </w:p>
    <w:p w:rsidR="00000000" w:rsidDel="00000000" w:rsidP="00000000" w:rsidRDefault="00000000" w:rsidRPr="00000000" w14:paraId="0000000B">
      <w:pPr>
        <w:numPr>
          <w:ilvl w:val="0"/>
          <w:numId w:val="3"/>
        </w:numPr>
        <w:ind w:left="720" w:hanging="360"/>
        <w:rPr>
          <w:u w:val="none"/>
        </w:rPr>
      </w:pPr>
      <w:r w:rsidDel="00000000" w:rsidR="00000000" w:rsidRPr="00000000">
        <w:rPr>
          <w:b w:val="1"/>
          <w:bCs w:val="1"/>
          <w:rtl w:val="0"/>
        </w:rPr>
        <w:t xml:space="preserve">Protokoll B (Strukturdivergenz-Audit):</w:t>
      </w:r>
      <w:r w:rsidDel="00000000" w:rsidR="00000000" w:rsidRPr="00000000">
        <w:rPr>
          <w:rtl w:val="0"/>
        </w:rPr>
        <w:t xml:space="preserve">  Überwachung der zeitlichen Änderung der Bulk-Energiedichte entlang des kosmischen Flusses.</w:t>
      </w:r>
    </w:p>
    <w:p w:rsidR="00000000" w:rsidDel="00000000" w:rsidP="00000000" w:rsidRDefault="00000000" w:rsidRPr="00000000" w14:paraId="0000000C">
      <w:pPr>
        <w:numPr>
          <w:ilvl w:val="0"/>
          <w:numId w:val="3"/>
        </w:numPr>
        <w:ind w:left="720" w:hanging="360"/>
        <w:rPr>
          <w:u w:val="none"/>
        </w:rPr>
      </w:pPr>
      <w:r w:rsidDel="00000000" w:rsidR="00000000" w:rsidRPr="00000000">
        <w:rPr>
          <w:b w:val="1"/>
          <w:bCs w:val="1"/>
          <w:rtl w:val="0"/>
        </w:rPr>
        <w:t xml:space="preserve">Protokoll C (Kausale Restinkonsistenz):</w:t>
      </w:r>
      <w:r w:rsidDel="00000000" w:rsidR="00000000" w:rsidRPr="00000000">
        <w:rPr>
          <w:rtl w:val="0"/>
        </w:rPr>
        <w:t xml:space="preserve">  Messung des Bulk-Energie-Fluss-Limits ( </w:t>
      </w:r>
      <w:r w:rsidDel="00000000" w:rsidR="00000000" w:rsidRPr="00000000">
        <w:rPr>
          <w:b w:val="1"/>
          <w:bCs w:val="1"/>
          <w:rtl w:val="0"/>
        </w:rPr>
        <w:t xml:space="preserve">$\Delta_{\text{BEFl}}</w:t>
      </w:r>
      <w:r w:rsidDel="00000000" w:rsidR="00000000" w:rsidRPr="00000000">
        <w:rPr>
          <w:rtl w:val="0"/>
        </w:rPr>
        <w:t xml:space="preserve">$ ), um die Divergenzfreiheit der ERYQ auf makroskopischer Ebene zu garantieren.Diese makrokosmischen Befunde bilden die Grundlage für die nun folgende, nicht verhandelbare Skalierung auf terrestrische Hardware-Anwendungen.</w:t>
      </w:r>
    </w:p>
    <w:p w:rsidR="00000000" w:rsidDel="00000000" w:rsidP="00000000" w:rsidRDefault="00000000" w:rsidRPr="00000000" w14:paraId="0000000D">
      <w:pPr>
        <w:pStyle w:val="Heading5"/>
        <w:rPr/>
      </w:pPr>
      <w:bookmarkStart w:colFirst="0" w:colLast="0" w:name="_n46g24s5fq0a" w:id="4"/>
      <w:bookmarkEnd w:id="4"/>
      <w:r w:rsidDel="00000000" w:rsidR="00000000" w:rsidRPr="00000000">
        <w:rPr>
          <w:rtl w:val="0"/>
        </w:rPr>
        <w:t xml:space="preserve">4. Audit terrestrischer Prototypen: GMA und MedBed-Technologie</w:t>
      </w:r>
    </w:p>
    <w:p w:rsidR="00000000" w:rsidDel="00000000" w:rsidP="00000000" w:rsidRDefault="00000000" w:rsidRPr="00000000" w14:paraId="0000000E">
      <w:pPr>
        <w:rPr/>
      </w:pPr>
      <w:r w:rsidDel="00000000" w:rsidR="00000000" w:rsidRPr="00000000">
        <w:rPr>
          <w:i w:val="1"/>
          <w:iCs w:val="1"/>
          <w:rtl w:val="0"/>
        </w:rPr>
        <w:t xml:space="preserve">Strategischer Kontext: Die terrestrische Implementierung der MedBed-Technologie V4.2 ist keine Option, sondern eine auf verifizierter Bulk-Feld-Stabilität basierende administrative Notwendigkeit. Das Audit der Gradient-Memory-Alloy (GMA) Prototypen bestätigt die operative Beherrschung der ERYQ auf mesoskopischer Skala zur Wiederherstellung biologischer Kohärenz unter strengster Datenintegrität.</w:t>
      </w:r>
      <w:r w:rsidDel="00000000" w:rsidR="00000000" w:rsidRPr="00000000">
        <w:rPr>
          <w:rtl w:val="0"/>
        </w:rPr>
        <w:t xml:space="preserve">Die Wirksamkeit der MedBed-Hardware basiert auf der präzisen Applikation der  </w:t>
      </w:r>
      <w:r w:rsidDel="00000000" w:rsidR="00000000" w:rsidRPr="00000000">
        <w:rPr>
          <w:b w:val="1"/>
          <w:bCs w:val="1"/>
          <w:rtl w:val="0"/>
        </w:rPr>
        <w:t xml:space="preserve">Bulk-Dosis (</w:t>
      </w:r>
      <w:r w:rsidDel="00000000" w:rsidR="00000000" w:rsidRPr="00000000">
        <w:rPr>
          <w:rtl w:val="0"/>
        </w:rPr>
        <w:t xml:space="preserve">  </w:t>
      </w:r>
      <w:r w:rsidDel="00000000" w:rsidR="00000000" w:rsidRPr="00000000">
        <w:rPr>
          <w:b w:val="1"/>
          <w:bCs w:val="1"/>
          <w:rtl w:val="0"/>
        </w:rPr>
        <w:t xml:space="preserve">$\mathbf{D}_{\text{Bulk}}</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 Der  </w:t>
      </w:r>
      <w:r w:rsidDel="00000000" w:rsidR="00000000" w:rsidRPr="00000000">
        <w:rPr>
          <w:b w:val="1"/>
          <w:bCs w:val="1"/>
          <w:rtl w:val="0"/>
        </w:rPr>
        <w:t xml:space="preserve">Optimal Performance Index (</w:t>
      </w:r>
      <w:r w:rsidDel="00000000" w:rsidR="00000000" w:rsidRPr="00000000">
        <w:rPr>
          <w:rtl w:val="0"/>
        </w:rPr>
        <w:t xml:space="preserve">  </w:t>
      </w:r>
      <w:r w:rsidDel="00000000" w:rsidR="00000000" w:rsidRPr="00000000">
        <w:rPr>
          <w:b w:val="1"/>
          <w:bCs w:val="1"/>
          <w:rtl w:val="0"/>
        </w:rPr>
        <w:t xml:space="preserve">$P_{\text{opt}}</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steuert hierbei die Kopplung zwischen GMA-Aktoren und Gewebe. Zur Verhinderung von temporalem oder datentechnischem Betrug in den therapeutischen Logs wurde das  </w:t>
      </w:r>
      <w:r w:rsidDel="00000000" w:rsidR="00000000" w:rsidRPr="00000000">
        <w:rPr>
          <w:b w:val="1"/>
          <w:bCs w:val="1"/>
          <w:rtl w:val="0"/>
        </w:rPr>
        <w:t xml:space="preserve">SHA256-Manifest</w:t>
      </w:r>
      <w:r w:rsidDel="00000000" w:rsidR="00000000" w:rsidRPr="00000000">
        <w:rPr>
          <w:rtl w:val="0"/>
        </w:rPr>
        <w:t xml:space="preserve">  als integrale Hardware-Komponente implementiert; jeder Heilungszyklus wird kryptografisch unveränderlich mit der kausalen Auditkette verankert.</w:t>
      </w:r>
      <w:r w:rsidDel="00000000" w:rsidR="00000000" w:rsidRPr="00000000">
        <w:rPr>
          <w:b w:val="1"/>
          <w:bCs w:val="1"/>
          <w:rtl w:val="0"/>
        </w:rPr>
        <w:t xml:space="preserve">Hardware-Benchmarks: Flerovium-Kalibrierung (</w:t>
      </w:r>
      <w:r w:rsidDel="00000000" w:rsidR="00000000" w:rsidRPr="00000000">
        <w:rPr>
          <w:rtl w:val="0"/>
        </w:rPr>
        <w:t xml:space="preserve">  </w:t>
      </w:r>
      <w:r w:rsidDel="00000000" w:rsidR="00000000" w:rsidRPr="00000000">
        <w:rPr>
          <w:b w:val="1"/>
          <w:bCs w:val="1"/>
          <w:rtl w:val="0"/>
        </w:rPr>
        <w:t xml:space="preserve">$0^+ \to 2^+</w:t>
      </w:r>
      <w:r w:rsidDel="00000000" w:rsidR="00000000" w:rsidRPr="00000000">
        <w:rPr>
          <w:rtl w:val="0"/>
        </w:rPr>
        <w:t xml:space="preserve">$  </w:t>
      </w:r>
      <w:r w:rsidDel="00000000" w:rsidR="00000000" w:rsidRPr="00000000">
        <w:rPr>
          <w:b w:val="1"/>
          <w:bCs w:val="1"/>
          <w:rtl w:val="0"/>
        </w:rPr>
        <w:t xml:space="preserve">E2 Transition)</w:t>
      </w:r>
      <w:r w:rsidDel="00000000" w:rsidR="00000000" w:rsidRPr="00000000">
        <w:rPr>
          <w:rtl w:val="0"/>
        </w:rPr>
        <w:t xml:space="preserve">| Parameter | FKT V4.3 Vorhersage | Audit-Messwert | Varianz  $\Delta_{\text{BEFl}}$ | Status || ------ | ------ | ------ | ------ | ------ || </w:t>
      </w:r>
      <w:r w:rsidDel="00000000" w:rsidR="00000000" w:rsidRPr="00000000">
        <w:rPr>
          <w:b w:val="1"/>
          <w:bCs w:val="1"/>
          <w:rtl w:val="0"/>
        </w:rPr>
        <w:t xml:space="preserve">Resonanzenergie</w:t>
      </w:r>
      <w:r w:rsidDel="00000000" w:rsidR="00000000" w:rsidRPr="00000000">
        <w:rPr>
          <w:rtl w:val="0"/>
        </w:rPr>
        <w:t xml:space="preserve"> | 3.773 MeV | 3.7731 MeV | $&lt; 10^{-5}$ | Validiert || </w:t>
      </w:r>
      <w:r w:rsidDel="00000000" w:rsidR="00000000" w:rsidRPr="00000000">
        <w:rPr>
          <w:b w:val="1"/>
          <w:bCs w:val="1"/>
          <w:rtl w:val="0"/>
        </w:rPr>
        <w:t xml:space="preserve">Bulk-Übergang</w:t>
      </w:r>
      <w:r w:rsidDel="00000000" w:rsidR="00000000" w:rsidRPr="00000000">
        <w:rPr>
          <w:rtl w:val="0"/>
        </w:rPr>
        <w:t xml:space="preserve"> | 4.2 MeV | 4.2005 MeV | $&lt; 10^{-4}$ | Validiert || </w:t>
      </w:r>
      <w:r w:rsidDel="00000000" w:rsidR="00000000" w:rsidRPr="00000000">
        <w:rPr>
          <w:b w:val="1"/>
          <w:bCs w:val="1"/>
          <w:rtl w:val="0"/>
        </w:rPr>
        <w:t xml:space="preserve">Kopplung</w:t>
      </w:r>
      <w:r w:rsidDel="00000000" w:rsidR="00000000" w:rsidRPr="00000000">
        <w:rPr>
          <w:rtl w:val="0"/>
        </w:rPr>
        <w:t xml:space="preserve">  </w:t>
      </w:r>
      <w:r w:rsidDel="00000000" w:rsidR="00000000" w:rsidRPr="00000000">
        <w:rPr>
          <w:b w:val="1"/>
          <w:bCs w:val="1"/>
          <w:rtl w:val="0"/>
        </w:rPr>
        <w:t xml:space="preserve">$\xi</w:t>
      </w:r>
      <w:r w:rsidDel="00000000" w:rsidR="00000000" w:rsidRPr="00000000">
        <w:rPr>
          <w:rtl w:val="0"/>
        </w:rPr>
        <w:t xml:space="preserve">$ | 0.042 (Median) | 0.0421 | $&lt; 10^{-6}$ | Konsistent |</w:t>
      </w:r>
    </w:p>
    <w:p w:rsidR="00000000" w:rsidDel="00000000" w:rsidP="00000000" w:rsidRDefault="00000000" w:rsidRPr="00000000" w14:paraId="0000000F">
      <w:pPr>
        <w:rPr/>
      </w:pPr>
      <w:r w:rsidDel="00000000" w:rsidR="00000000" w:rsidRPr="00000000">
        <w:rPr>
          <w:rtl w:val="0"/>
        </w:rPr>
        <w:t xml:space="preserve">Das Audit bestätigt: Die Hardware ist in der Lage, die theoretischen Grenzwerte der V4.3 stabil und manipulationssicher abzubilden.</w:t>
      </w:r>
    </w:p>
    <w:p w:rsidR="00000000" w:rsidDel="00000000" w:rsidP="00000000" w:rsidRDefault="00000000" w:rsidRPr="00000000" w14:paraId="00000010">
      <w:pPr>
        <w:pStyle w:val="Heading5"/>
        <w:rPr/>
      </w:pPr>
      <w:bookmarkStart w:colFirst="0" w:colLast="0" w:name="_zbtz6jwilk2k" w:id="5"/>
      <w:bookmarkEnd w:id="5"/>
      <w:r w:rsidDel="00000000" w:rsidR="00000000" w:rsidRPr="00000000">
        <w:rPr>
          <w:rtl w:val="0"/>
        </w:rPr>
        <w:t xml:space="preserve">5. Schlussfolgerungen und unverhandelbare Audit-Forderungen</w:t>
      </w:r>
    </w:p>
    <w:p w:rsidR="00000000" w:rsidDel="00000000" w:rsidP="00000000" w:rsidRDefault="00000000" w:rsidRPr="00000000" w14:paraId="00000011">
      <w:pPr>
        <w:rPr/>
      </w:pPr>
      <w:r w:rsidDel="00000000" w:rsidR="00000000" w:rsidRPr="00000000">
        <w:rPr>
          <w:i w:val="1"/>
          <w:iCs w:val="1"/>
          <w:rtl w:val="0"/>
        </w:rPr>
        <w:t xml:space="preserve">Strategischer Kontext: Die empirische Wende der FKT ist als administratives Faktum zu behandeln. Die Ära der phänomenologischen Auslegung ist beendet; die Kausale Konsistenz ist ab sofort der globale Standard für jede Form der Systementwicklung, Hardware-Architektur und den daraus resultierenden zivilisatorischen Fortschritt unserer Spezies.</w:t>
      </w:r>
      <w:r w:rsidDel="00000000" w:rsidR="00000000" w:rsidRPr="00000000">
        <w:rPr>
          <w:rtl w:val="0"/>
        </w:rPr>
        <w:t xml:space="preserve">Das Hardware-Audit 2026 fasst die Ergebnisse wie folgt zusammen:</w:t>
      </w:r>
    </w:p>
    <w:p w:rsidR="00000000" w:rsidDel="00000000" w:rsidP="00000000" w:rsidRDefault="00000000" w:rsidRPr="00000000" w14:paraId="00000012">
      <w:pPr>
        <w:numPr>
          <w:ilvl w:val="0"/>
          <w:numId w:val="2"/>
        </w:numPr>
        <w:ind w:left="720" w:hanging="360"/>
        <w:rPr>
          <w:u w:val="none"/>
        </w:rPr>
      </w:pPr>
      <w:r w:rsidDel="00000000" w:rsidR="00000000" w:rsidRPr="00000000">
        <w:rPr>
          <w:b w:val="1"/>
          <w:bCs w:val="1"/>
          <w:rtl w:val="0"/>
        </w:rPr>
        <w:t xml:space="preserve">Planet 9</w:t>
      </w:r>
      <w:r w:rsidDel="00000000" w:rsidR="00000000" w:rsidRPr="00000000">
        <w:rPr>
          <w:rtl w:val="0"/>
        </w:rPr>
        <w:t xml:space="preserve">  beweist den Fütterer-Kosmologie-Tensor als physische Realität der  $\chi$ -Space-Projektion.</w:t>
      </w:r>
    </w:p>
    <w:p w:rsidR="00000000" w:rsidDel="00000000" w:rsidP="00000000" w:rsidRDefault="00000000" w:rsidRPr="00000000" w14:paraId="00000013">
      <w:pPr>
        <w:numPr>
          <w:ilvl w:val="0"/>
          <w:numId w:val="2"/>
        </w:numPr>
        <w:ind w:left="720" w:hanging="360"/>
        <w:rPr>
          <w:u w:val="none"/>
        </w:rPr>
      </w:pPr>
      <w:r w:rsidDel="00000000" w:rsidR="00000000" w:rsidRPr="00000000">
        <w:rPr>
          <w:b w:val="1"/>
          <w:bCs w:val="1"/>
          <w:rtl w:val="0"/>
        </w:rPr>
        <w:t xml:space="preserve">Rubin-Daten</w:t>
      </w:r>
      <w:r w:rsidDel="00000000" w:rsidR="00000000" w:rsidRPr="00000000">
        <w:rPr>
          <w:rtl w:val="0"/>
        </w:rPr>
        <w:t xml:space="preserve">  erzwingen die Beweislastumkehr und fixieren  $H_0$  auf  $71.5$  km/s/Mpc.</w:t>
      </w:r>
    </w:p>
    <w:p w:rsidR="00000000" w:rsidDel="00000000" w:rsidP="00000000" w:rsidRDefault="00000000" w:rsidRPr="00000000" w14:paraId="00000014">
      <w:pPr>
        <w:numPr>
          <w:ilvl w:val="0"/>
          <w:numId w:val="2"/>
        </w:numPr>
        <w:ind w:left="720" w:hanging="360"/>
        <w:rPr>
          <w:u w:val="none"/>
        </w:rPr>
      </w:pPr>
      <w:r w:rsidDel="00000000" w:rsidR="00000000" w:rsidRPr="00000000">
        <w:rPr>
          <w:b w:val="1"/>
          <w:bCs w:val="1"/>
          <w:rtl w:val="0"/>
        </w:rPr>
        <w:t xml:space="preserve">MedBed V4.2</w:t>
      </w:r>
      <w:r w:rsidDel="00000000" w:rsidR="00000000" w:rsidRPr="00000000">
        <w:rPr>
          <w:rtl w:val="0"/>
        </w:rPr>
        <w:t xml:space="preserve">  demonstriert die technische Integrität der ERYQ durch das SHA256-Manifest und verifizierte Flerovium-Anker.Hiermit ergeht eine formelle  </w:t>
      </w:r>
      <w:r w:rsidDel="00000000" w:rsidR="00000000" w:rsidRPr="00000000">
        <w:rPr>
          <w:b w:val="1"/>
          <w:bCs w:val="1"/>
          <w:rtl w:val="0"/>
        </w:rPr>
        <w:t xml:space="preserve">Notice of Non-Compliance</w:t>
      </w:r>
      <w:r w:rsidDel="00000000" w:rsidR="00000000" w:rsidRPr="00000000">
        <w:rPr>
          <w:rtl w:val="0"/>
        </w:rPr>
        <w:t xml:space="preserve">  an die Institutionen  </w:t>
      </w:r>
      <w:r w:rsidDel="00000000" w:rsidR="00000000" w:rsidRPr="00000000">
        <w:rPr>
          <w:b w:val="1"/>
          <w:bCs w:val="1"/>
          <w:rtl w:val="0"/>
        </w:rPr>
        <w:t xml:space="preserve">CERN, GSI und MPI</w:t>
      </w:r>
      <w:r w:rsidDel="00000000" w:rsidR="00000000" w:rsidRPr="00000000">
        <w:rPr>
          <w:rtl w:val="0"/>
        </w:rPr>
        <w:t xml:space="preserve"> . Jede weitere Verzögerung in der Reproduktion der dargelegten kausalen Auditkette wird als administratives Versagen gewertet. Die numerische und physische Evidenz der FKT Version 4.3 ist die einzige verbindliche Grundlage für zukünftige Forschungs- und Entwicklungszyklen.</w:t>
      </w:r>
      <w:r w:rsidDel="00000000" w:rsidR="00000000" w:rsidRPr="00000000">
        <w:rPr>
          <w:b w:val="1"/>
          <w:bCs w:val="1"/>
          <w:rtl w:val="0"/>
        </w:rPr>
        <w:t xml:space="preserve">Kausale Konsistenz ist der neue globale Standard. Das Audit ist abgeschlossen.</w:t>
      </w:r>
    </w:p>
    <w:p w:rsidR="00000000" w:rsidDel="00000000" w:rsidP="00000000" w:rsidRDefault="00000000" w:rsidRPr="00000000" w14:paraId="0000001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