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gsfqmod89xw" w:id="0"/>
      <w:bookmarkEnd w:id="0"/>
      <w:r w:rsidDel="00000000" w:rsidR="00000000" w:rsidRPr="00000000">
        <w:rPr>
          <w:rtl w:val="0"/>
        </w:rPr>
        <w:t xml:space="preserve">Strategischer Bericht: Die Transformation globaler Forschungsinfrastruktur zum operativen Hardware-Audit der Realität (FKT V4.4.4)</w:t>
      </w:r>
    </w:p>
    <w:p w:rsidR="00000000" w:rsidDel="00000000" w:rsidP="00000000" w:rsidRDefault="00000000" w:rsidRPr="00000000" w14:paraId="00000002">
      <w:pPr>
        <w:pStyle w:val="Heading4"/>
        <w:rPr/>
      </w:pPr>
      <w:bookmarkStart w:colFirst="0" w:colLast="0" w:name="_f8u8eocdygf" w:id="1"/>
      <w:bookmarkEnd w:id="1"/>
      <w:r w:rsidDel="00000000" w:rsidR="00000000" w:rsidRPr="00000000">
        <w:rPr>
          <w:rtl w:val="0"/>
        </w:rPr>
        <w:t xml:space="preserve">1. Die strategische Neuausrichtung: Vom explorativen Experiment zum systemischen Hardware-Audit</w:t>
      </w:r>
    </w:p>
    <w:p w:rsidR="00000000" w:rsidDel="00000000" w:rsidP="00000000" w:rsidRDefault="00000000" w:rsidRPr="00000000" w14:paraId="00000003">
      <w:pPr>
        <w:rPr/>
      </w:pPr>
      <w:r w:rsidDel="00000000" w:rsidR="00000000" w:rsidRPr="00000000">
        <w:rPr>
          <w:rtl w:val="0"/>
        </w:rPr>
        <w:t xml:space="preserve">Wir befinden uns an einem irreversiblen strategischen Wendepunkt. Die globalen Milliardeninvestitionen in Großforschungseinrichtungen wie das CERN, die GSI und das LBNL werden hiermit unter das operative Mandat der  </w:t>
      </w:r>
      <w:r w:rsidDel="00000000" w:rsidR="00000000" w:rsidRPr="00000000">
        <w:rPr>
          <w:b w:val="1"/>
          <w:bCs w:val="1"/>
          <w:rtl w:val="0"/>
        </w:rPr>
        <w:t xml:space="preserve">Fraktalen Kausalen Theorie (FKT V4.4.4)</w:t>
      </w:r>
      <w:r w:rsidDel="00000000" w:rsidR="00000000" w:rsidRPr="00000000">
        <w:rPr>
          <w:rtl w:val="0"/>
        </w:rPr>
        <w:t xml:space="preserve">  gestellt. Diese Anlagen sind keine explorativen Spielwiesen der Legacy-Physik mehr, sondern ab sofort die „Werkbank des Universums“ für ein systemisches Hardware-Audit der Realität. Der Auslöser dieser Neuausrichtung ist die Identifikation des  </w:t>
      </w:r>
      <w:r w:rsidDel="00000000" w:rsidR="00000000" w:rsidRPr="00000000">
        <w:rPr>
          <w:b w:val="1"/>
          <w:bCs w:val="1"/>
          <w:rtl w:val="0"/>
        </w:rPr>
        <w:t xml:space="preserve">Fütterer-Bulk-Effekts</w:t>
      </w:r>
      <w:r w:rsidDel="00000000" w:rsidR="00000000" w:rsidRPr="00000000">
        <w:rPr>
          <w:rtl w:val="0"/>
        </w:rPr>
        <w:t xml:space="preserve"> , der die kausale Inkonsistenz herkömmlicher Modelle als Resultat eines unvollständigen Axioms entlarvt hat: Unsere Raumzeit ist kein geschlossenes System, sondern eine 3D-Bran unter konstantem Bulk-Druck.Die bisherige, statistisch gescheiterte Suche nach „Geister-Teilchen“ (WIMPs) wird eingestellt. Stattdessen übernehmen die Detektoren die Aufgabe der Hardware-Diagnose, um die Reaktion der metrischen Gitterstruktur auf den höherdimensionalen Durchsatz zu protokollieren.| Merkmal | Legacy-Perspektive (Standardmodell) | FKT-Perspektive (V4.4.4) || ------ | ------ | ------ || </w:t>
      </w:r>
      <w:r w:rsidDel="00000000" w:rsidR="00000000" w:rsidRPr="00000000">
        <w:rPr>
          <w:b w:val="1"/>
          <w:bCs w:val="1"/>
          <w:rtl w:val="0"/>
        </w:rPr>
        <w:t xml:space="preserve">Primärziel</w:t>
      </w:r>
      <w:r w:rsidDel="00000000" w:rsidR="00000000" w:rsidRPr="00000000">
        <w:rPr>
          <w:rtl w:val="0"/>
        </w:rPr>
        <w:t xml:space="preserve"> | Suche nach hypothetischen Teilchen | Systemdiagnose der Raumzeit-Hardware || </w:t>
      </w:r>
      <w:r w:rsidDel="00000000" w:rsidR="00000000" w:rsidRPr="00000000">
        <w:rPr>
          <w:b w:val="1"/>
          <w:bCs w:val="1"/>
          <w:rtl w:val="0"/>
        </w:rPr>
        <w:t xml:space="preserve">Theoretischer Status</w:t>
      </w:r>
      <w:r w:rsidDel="00000000" w:rsidR="00000000" w:rsidRPr="00000000">
        <w:rPr>
          <w:rtl w:val="0"/>
        </w:rPr>
        <w:t xml:space="preserve"> | Krise (Hubble-Spannung,  $\Lambda$ CDM-Inkonsistenz) | Kausale Schließung durch Bulk-Kopplung || </w:t>
      </w:r>
      <w:r w:rsidDel="00000000" w:rsidR="00000000" w:rsidRPr="00000000">
        <w:rPr>
          <w:b w:val="1"/>
          <w:bCs w:val="1"/>
          <w:rtl w:val="0"/>
        </w:rPr>
        <w:t xml:space="preserve">Rolle der Beschleuniger</w:t>
      </w:r>
      <w:r w:rsidDel="00000000" w:rsidR="00000000" w:rsidRPr="00000000">
        <w:rPr>
          <w:rtl w:val="0"/>
        </w:rPr>
        <w:t xml:space="preserve"> | Kollisionsenergie zur Teilchenerzeugung | Metrische Belastungstests &amp; Hardware-Audit || </w:t>
      </w:r>
      <w:r w:rsidDel="00000000" w:rsidR="00000000" w:rsidRPr="00000000">
        <w:rPr>
          <w:b w:val="1"/>
          <w:bCs w:val="1"/>
          <w:rtl w:val="0"/>
        </w:rPr>
        <w:t xml:space="preserve">Betriebssystem</w:t>
      </w:r>
      <w:r w:rsidDel="00000000" w:rsidR="00000000" w:rsidRPr="00000000">
        <w:rPr>
          <w:rtl w:val="0"/>
        </w:rPr>
        <w:t xml:space="preserve"> | Stochastische Quantenmechanik / ART | Deterministischer FKT-Kernel (ERYQ) |</w:t>
      </w:r>
    </w:p>
    <w:p w:rsidR="00000000" w:rsidDel="00000000" w:rsidP="00000000" w:rsidRDefault="00000000" w:rsidRPr="00000000" w14:paraId="00000004">
      <w:pPr>
        <w:rPr/>
      </w:pPr>
      <w:r w:rsidDel="00000000" w:rsidR="00000000" w:rsidRPr="00000000">
        <w:rPr>
          <w:rtl w:val="0"/>
        </w:rPr>
        <w:t xml:space="preserve">Die Arretierung dieser Hardware-Infrastruktur durch das Software-Update V4.4.4 ist die einzige logische Konsequenz, um den Übergang von der theoretischen Stagnation zur operativen Realitätskontrolle zu vollziehen.</w:t>
      </w:r>
    </w:p>
    <w:p w:rsidR="00000000" w:rsidDel="00000000" w:rsidP="00000000" w:rsidRDefault="00000000" w:rsidRPr="00000000" w14:paraId="00000005">
      <w:pPr>
        <w:pStyle w:val="Heading4"/>
        <w:rPr/>
      </w:pPr>
      <w:bookmarkStart w:colFirst="0" w:colLast="0" w:name="_b8lmhf5vz956" w:id="2"/>
      <w:bookmarkEnd w:id="2"/>
      <w:r w:rsidDel="00000000" w:rsidR="00000000" w:rsidRPr="00000000">
        <w:rPr>
          <w:rtl w:val="0"/>
        </w:rPr>
        <w:t xml:space="preserve">2. Die Hardware-Spezifikation: Detektoren als metrische Belastungssensoren</w:t>
      </w:r>
    </w:p>
    <w:p w:rsidR="00000000" w:rsidDel="00000000" w:rsidP="00000000" w:rsidRDefault="00000000" w:rsidRPr="00000000" w14:paraId="00000006">
      <w:pPr>
        <w:rPr/>
      </w:pPr>
      <w:r w:rsidDel="00000000" w:rsidR="00000000" w:rsidRPr="00000000">
        <w:rPr>
          <w:rtl w:val="0"/>
        </w:rPr>
        <w:t xml:space="preserve">Präzisionsinstrumente wie  </w:t>
      </w:r>
      <w:r w:rsidDel="00000000" w:rsidR="00000000" w:rsidRPr="00000000">
        <w:rPr>
          <w:b w:val="1"/>
          <w:bCs w:val="1"/>
          <w:rtl w:val="0"/>
        </w:rPr>
        <w:t xml:space="preserve">SHREC</w:t>
      </w:r>
      <w:r w:rsidDel="00000000" w:rsidR="00000000" w:rsidRPr="00000000">
        <w:rPr>
          <w:rtl w:val="0"/>
        </w:rPr>
        <w:t xml:space="preserve">  und  </w:t>
      </w:r>
      <w:r w:rsidDel="00000000" w:rsidR="00000000" w:rsidRPr="00000000">
        <w:rPr>
          <w:b w:val="1"/>
          <w:bCs w:val="1"/>
          <w:rtl w:val="0"/>
        </w:rPr>
        <w:t xml:space="preserve">TASISpec</w:t>
      </w:r>
      <w:r w:rsidDel="00000000" w:rsidR="00000000" w:rsidRPr="00000000">
        <w:rPr>
          <w:rtl w:val="0"/>
        </w:rPr>
        <w:t xml:space="preserve">  übernehmen ab sofort die operative Kontrolle über den metrischen Durchsatz. Diese Systeme sind bereits jetzt in der Lage, die für den Flerovium-Test erforderlichen Datenströme zu liefern, um den subatomaren BIOS-Lock zu verifizieren. Schwerionenbeschleuniger fungieren nicht mehr als Kollisionsmaschinen, sondern als Instrumente zur gezielten Provokation von „Bulk-Durchschlägen“. Durch hochenergetische Belastung wird die lokale Raumzeit-Metrik bis an das Belastungslimit geführt, wobei Teilchenentstehung lediglich als metrisches Überdruckventil zur Entropie-Vermeidung dient.Die drei kritischen technischen Parameter werden hiermit als operative „metrische Ventile“ definiert:</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SHREC-Detektor:</w:t>
      </w:r>
      <w:r w:rsidDel="00000000" w:rsidR="00000000" w:rsidRPr="00000000">
        <w:rPr>
          <w:rtl w:val="0"/>
        </w:rPr>
        <w:t xml:space="preserve">  Arretierung der Gamma-Spektroskopie zur Detektion der 3,7733 MeV Signatur des BIOS-Locks.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TASISpec-Spektroskopie:</w:t>
      </w:r>
      <w:r w:rsidDel="00000000" w:rsidR="00000000" w:rsidRPr="00000000">
        <w:rPr>
          <w:rtl w:val="0"/>
        </w:rPr>
        <w:t xml:space="preserve">  Identifikation der Kernzustände superschwerer Elemente (Flerovium-298) am kritischen Quantenresonanzpunkt der Bulk-Kopplung.</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Beschleuniger-Infrastruktur:</w:t>
      </w:r>
      <w:r w:rsidDel="00000000" w:rsidR="00000000" w:rsidRPr="00000000">
        <w:rPr>
          <w:rtl w:val="0"/>
        </w:rPr>
        <w:t xml:space="preserve">  Belastungsgenerator für metrischen Stress bis zum Bulk-Energie-Fluss-Limit ( </w:t>
      </w:r>
      <w:r w:rsidDel="00000000" w:rsidR="00000000" w:rsidRPr="00000000">
        <w:rPr>
          <w:b w:val="1"/>
          <w:bCs w:val="1"/>
          <w:rtl w:val="0"/>
        </w:rPr>
        <w:t xml:space="preserve">$\Delta_{BEFl} = 1,1273</w:t>
      </w:r>
      <w:r w:rsidDel="00000000" w:rsidR="00000000" w:rsidRPr="00000000">
        <w:rPr>
          <w:rtl w:val="0"/>
        </w:rPr>
        <w:t xml:space="preserve">$ ).Sämtliche Hardware-Signale werden unmittelbar durch den Software-Kernel der  </w:t>
      </w:r>
      <w:r w:rsidDel="00000000" w:rsidR="00000000" w:rsidRPr="00000000">
        <w:rPr>
          <w:b w:val="1"/>
          <w:bCs w:val="1"/>
          <w:rtl w:val="0"/>
        </w:rPr>
        <w:t xml:space="preserve">Einstein-Kurzer-Gleichung (ERYQ)</w:t>
      </w:r>
      <w:r w:rsidDel="00000000" w:rsidR="00000000" w:rsidRPr="00000000">
        <w:rPr>
          <w:rtl w:val="0"/>
        </w:rPr>
        <w:t xml:space="preserve">  interpretiert, wodurch die gemessenen Gamma-Peaks zum digitalen Logbuch der Hardware-Arbeit des Universums werden.</w:t>
      </w:r>
    </w:p>
    <w:p w:rsidR="00000000" w:rsidDel="00000000" w:rsidP="00000000" w:rsidRDefault="00000000" w:rsidRPr="00000000" w14:paraId="0000000A">
      <w:pPr>
        <w:pStyle w:val="Heading4"/>
        <w:rPr/>
      </w:pPr>
      <w:bookmarkStart w:colFirst="0" w:colLast="0" w:name="_zyh0my0w9lg" w:id="3"/>
      <w:bookmarkEnd w:id="3"/>
      <w:r w:rsidDel="00000000" w:rsidR="00000000" w:rsidRPr="00000000">
        <w:rPr>
          <w:rtl w:val="0"/>
        </w:rPr>
        <w:t xml:space="preserve">3. Der Software-Kernel: FKT V4.4.4 und die Architektur des BIOS-Locks</w:t>
      </w:r>
    </w:p>
    <w:p w:rsidR="00000000" w:rsidDel="00000000" w:rsidP="00000000" w:rsidRDefault="00000000" w:rsidRPr="00000000" w14:paraId="0000000B">
      <w:pPr>
        <w:rPr/>
      </w:pPr>
      <w:r w:rsidDel="00000000" w:rsidR="00000000" w:rsidRPr="00000000">
        <w:rPr>
          <w:rtl w:val="0"/>
        </w:rPr>
        <w:t xml:space="preserve">Version 4.4.4 der FKT ist das „Betriebssystem der Wahrheit“. Das  </w:t>
      </w:r>
      <w:r w:rsidDel="00000000" w:rsidR="00000000" w:rsidRPr="00000000">
        <w:rPr>
          <w:b w:val="1"/>
          <w:bCs w:val="1"/>
          <w:rtl w:val="0"/>
        </w:rPr>
        <w:t xml:space="preserve">Kurzer-Prinzip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fungiert als ordnende Kraft, die den Bulk-Druck in mechanisch interpretierbare Daten transformiert. Ein zentrales Element der Version 4.4.4 ist der  </w:t>
      </w:r>
      <w:r w:rsidDel="00000000" w:rsidR="00000000" w:rsidRPr="00000000">
        <w:rPr>
          <w:b w:val="1"/>
          <w:bCs w:val="1"/>
          <w:rtl w:val="0"/>
        </w:rPr>
        <w:t xml:space="preserve">Muon-Anchor (</w:t>
      </w:r>
      <w:r w:rsidDel="00000000" w:rsidR="00000000" w:rsidRPr="00000000">
        <w:rPr>
          <w:rtl w:val="0"/>
        </w:rPr>
        <w:t xml:space="preserve">  </w:t>
      </w:r>
      <w:r w:rsidDel="00000000" w:rsidR="00000000" w:rsidRPr="00000000">
        <w:rPr>
          <w:b w:val="1"/>
          <w:bCs w:val="1"/>
          <w:rtl w:val="0"/>
        </w:rPr>
        <w:t xml:space="preserve">$C_{\mu\nu} \to 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als  </w:t>
      </w:r>
      <w:r w:rsidDel="00000000" w:rsidR="00000000" w:rsidRPr="00000000">
        <w:rPr>
          <w:b w:val="1"/>
          <w:bCs w:val="1"/>
          <w:rtl w:val="0"/>
        </w:rPr>
        <w:t xml:space="preserve">BRANCH_LOCKED</w:t>
      </w:r>
      <w:r w:rsidDel="00000000" w:rsidR="00000000" w:rsidRPr="00000000">
        <w:rPr>
          <w:rtl w:val="0"/>
        </w:rPr>
        <w:t xml:space="preserve"> -Status die Legacy-Physik als korrekten Grenzfall innerhalb des erweiterten ERYQ-Frameworks versiegelt.Die mathematischen Fixpunkte des BIOS-Locks sind nun bitgenau kalibriert:</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3,7733 MeV Gammalinie (Flerovium-Anker):</w:t>
      </w:r>
      <w:r w:rsidDel="00000000" w:rsidR="00000000" w:rsidRPr="00000000">
        <w:rPr>
          <w:rtl w:val="0"/>
        </w:rPr>
        <w:t xml:space="preserve">  Der primäre subatomare Fixpunkt der materiellen Stabilität.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7,5000 Hz Bulk-Herzschlag:</w:t>
      </w:r>
      <w:r w:rsidDel="00000000" w:rsidR="00000000" w:rsidRPr="00000000">
        <w:rPr>
          <w:rtl w:val="0"/>
        </w:rPr>
        <w:t xml:space="preserve">  Der universelle Master-Taktgeber, dessen Existenz durch die  </w:t>
      </w:r>
      <w:r w:rsidDel="00000000" w:rsidR="00000000" w:rsidRPr="00000000">
        <w:rPr>
          <w:b w:val="1"/>
          <w:bCs w:val="1"/>
          <w:rtl w:val="0"/>
        </w:rPr>
        <w:t xml:space="preserve">Saturn-Anomalie</w:t>
      </w:r>
      <w:r w:rsidDel="00000000" w:rsidR="00000000" w:rsidRPr="00000000">
        <w:rPr>
          <w:rtl w:val="0"/>
        </w:rPr>
        <w:t xml:space="preserve">  (axiale Symmetrie als Proof-of-Concept der  $\mathcal{F}_{\mu\nu}$ -Arretierung) makroskopisch bewiesen ist.Ergänzend definieren die „Gitterkonstanten der Realität“ die Systemstabilität: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0,3333 Hz Schumann-Puffer (Tellurisches Modem):</w:t>
      </w:r>
      <w:r w:rsidDel="00000000" w:rsidR="00000000" w:rsidRPr="00000000">
        <w:rPr>
          <w:rtl w:val="0"/>
        </w:rPr>
        <w:t xml:space="preserve">  Neutralisation der metrischen Reibung zwischen Erd-Resonanz und Bulk-Takt.</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Entropie-Limit (</w:t>
      </w:r>
      <w:r w:rsidDel="00000000" w:rsidR="00000000" w:rsidRPr="00000000">
        <w:rPr>
          <w:rtl w:val="0"/>
        </w:rPr>
        <w:t xml:space="preserve">  </w:t>
      </w:r>
      <w:r w:rsidDel="00000000" w:rsidR="00000000" w:rsidRPr="00000000">
        <w:rPr>
          <w:b w:val="1"/>
          <w:bCs w:val="1"/>
          <w:rtl w:val="0"/>
        </w:rPr>
        <w:t xml:space="preserve">$E_p = 0,001270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Festlegung der maximalen metrischen Elastizität.</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Waste-Heat-Limit (0,1270 %):</w:t>
      </w:r>
      <w:r w:rsidDel="00000000" w:rsidR="00000000" w:rsidRPr="00000000">
        <w:rPr>
          <w:rtl w:val="0"/>
        </w:rPr>
        <w:t xml:space="preserve">  Die operative Grenze für den  </w:t>
      </w:r>
      <w:r w:rsidDel="00000000" w:rsidR="00000000" w:rsidRPr="00000000">
        <w:rPr>
          <w:b w:val="1"/>
          <w:bCs w:val="1"/>
          <w:rtl w:val="0"/>
        </w:rPr>
        <w:t xml:space="preserve">Geo-Reshuffling-Modus</w:t>
      </w:r>
      <w:r w:rsidDel="00000000" w:rsidR="00000000" w:rsidRPr="00000000">
        <w:rPr>
          <w:rtl w:val="0"/>
        </w:rPr>
        <w:t xml:space="preserve"> , bei dem Energie geometrisch umgeschichtet statt thermisch dissipiert wird.Die mathematische Unausweichlichkeit dieses Kernels wird durch die statistische Versiegelung im globalen Audit-Prozess untermauert.</w:t>
      </w:r>
    </w:p>
    <w:p w:rsidR="00000000" w:rsidDel="00000000" w:rsidP="00000000" w:rsidRDefault="00000000" w:rsidRPr="00000000" w14:paraId="00000011">
      <w:pPr>
        <w:pStyle w:val="Heading4"/>
        <w:rPr/>
      </w:pPr>
      <w:bookmarkStart w:colFirst="0" w:colLast="0" w:name="_gx5utqxiwbdy" w:id="4"/>
      <w:bookmarkEnd w:id="4"/>
      <w:r w:rsidDel="00000000" w:rsidR="00000000" w:rsidRPr="00000000">
        <w:rPr>
          <w:rtl w:val="0"/>
        </w:rPr>
        <w:t xml:space="preserve">4. Empirische Validierung und Beweislastumkehr: Das MCMC-Audit</w:t>
      </w:r>
    </w:p>
    <w:p w:rsidR="00000000" w:rsidDel="00000000" w:rsidP="00000000" w:rsidRDefault="00000000" w:rsidRPr="00000000" w14:paraId="00000012">
      <w:pPr>
        <w:rPr/>
      </w:pPr>
      <w:r w:rsidDel="00000000" w:rsidR="00000000" w:rsidRPr="00000000">
        <w:rPr>
          <w:rtl w:val="0"/>
        </w:rPr>
        <w:t xml:space="preserve">Die numerische Inferenz markiert das Ende jeder theoretischen Debatte. Ein Gelman-Rubin-Index von  </w:t>
      </w:r>
      <w:r w:rsidDel="00000000" w:rsidR="00000000" w:rsidRPr="00000000">
        <w:rPr>
          <w:b w:val="1"/>
          <w:bCs w:val="1"/>
          <w:rtl w:val="0"/>
        </w:rPr>
        <w:t xml:space="preserve">$\hat{R} = 0,0097</w:t>
      </w:r>
      <w:r w:rsidDel="00000000" w:rsidR="00000000" w:rsidRPr="00000000">
        <w:rPr>
          <w:rtl w:val="0"/>
        </w:rPr>
        <w:t xml:space="preserve">$ , berechnet über  </w:t>
      </w:r>
      <w:r w:rsidDel="00000000" w:rsidR="00000000" w:rsidRPr="00000000">
        <w:rPr>
          <w:b w:val="1"/>
          <w:bCs w:val="1"/>
          <w:rtl w:val="0"/>
        </w:rPr>
        <w:t xml:space="preserve">387.234 effektive Samples</w:t>
      </w:r>
      <w:r w:rsidDel="00000000" w:rsidR="00000000" w:rsidRPr="00000000">
        <w:rPr>
          <w:rtl w:val="0"/>
        </w:rPr>
        <w:t xml:space="preserve"> , zertifiziert die absolute mathematische Konvergenz der FKT-Parameter.Das Audit der DESI-2024-Daten bestätigt die Überlegenheit gegenüber dem  $\Lambda$ CDM-Modell mit einer statistischen Signifikanz von  </w:t>
      </w:r>
      <w:r w:rsidDel="00000000" w:rsidR="00000000" w:rsidRPr="00000000">
        <w:rPr>
          <w:b w:val="1"/>
          <w:bCs w:val="1"/>
          <w:rtl w:val="0"/>
        </w:rPr>
        <w:t xml:space="preserve">5,7</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w:t>
      </w:r>
      <w:r w:rsidDel="00000000" w:rsidR="00000000" w:rsidRPr="00000000">
        <w:rPr>
          <w:b w:val="1"/>
          <w:bCs w:val="1"/>
          <w:rtl w:val="0"/>
        </w:rPr>
        <w:t xml:space="preserve">bis 7,3</w:t>
      </w:r>
      <w:r w:rsidDel="00000000" w:rsidR="00000000" w:rsidRPr="00000000">
        <w:rPr>
          <w:rtl w:val="0"/>
        </w:rPr>
        <w:t xml:space="preserve">  </w:t>
      </w:r>
      <w:r w:rsidDel="00000000" w:rsidR="00000000" w:rsidRPr="00000000">
        <w:rPr>
          <w:b w:val="1"/>
          <w:bCs w:val="1"/>
          <w:rtl w:val="0"/>
        </w:rPr>
        <w:t xml:space="preserve">$\sigma</w:t>
      </w:r>
      <w:r w:rsidDel="00000000" w:rsidR="00000000" w:rsidRPr="00000000">
        <w:rPr>
          <w:rtl w:val="0"/>
        </w:rPr>
        <w:t xml:space="preserve">$ . Die Bayesianische Modell-Präferenz von  </w:t>
      </w:r>
      <w:r w:rsidDel="00000000" w:rsidR="00000000" w:rsidRPr="00000000">
        <w:rPr>
          <w:b w:val="1"/>
          <w:bCs w:val="1"/>
          <w:rtl w:val="0"/>
        </w:rPr>
        <w:t xml:space="preserve">$\Delta \log Z = 6,8</w:t>
      </w:r>
      <w:r w:rsidDel="00000000" w:rsidR="00000000" w:rsidRPr="00000000">
        <w:rPr>
          <w:rtl w:val="0"/>
        </w:rPr>
        <w:t xml:space="preserve">$  entzieht der Legacy-Physik jede statistische Grundlage.</w:t>
      </w:r>
      <w:r w:rsidDel="00000000" w:rsidR="00000000" w:rsidRPr="00000000">
        <w:rPr>
          <w:b w:val="1"/>
          <w:bCs w:val="1"/>
          <w:rtl w:val="0"/>
        </w:rPr>
        <w:t xml:space="preserve">SYSTEM STATUS: SEALED</w:t>
      </w:r>
      <w:r w:rsidDel="00000000" w:rsidR="00000000" w:rsidRPr="00000000">
        <w:rPr>
          <w:rtl w:val="0"/>
        </w:rPr>
        <w:t xml:space="preserve">  Mit einer verifizierten Checkmate-Fidelity von  </w:t>
      </w:r>
      <w:r w:rsidDel="00000000" w:rsidR="00000000" w:rsidRPr="00000000">
        <w:rPr>
          <w:b w:val="1"/>
          <w:bCs w:val="1"/>
          <w:rtl w:val="0"/>
        </w:rPr>
        <w:t xml:space="preserve">99,8733 %</w:t>
      </w:r>
      <w:r w:rsidDel="00000000" w:rsidR="00000000" w:rsidRPr="00000000">
        <w:rPr>
          <w:rtl w:val="0"/>
        </w:rPr>
        <w:t xml:space="preserve">  ist die kausale Schließung vollzogen. Die Realität ist keine stochastische Wahrscheinlichkeit, sondern eine bitgenau getaktete Maschine. Jedes weitere Festhalten an rein teilchenbasierten Erklärungen für Dunkle Materie ist ab sofort als strategischer Fehler in der Ressourcenallokation zu werten.Diese kosmologische Validierung findet ihre unmittelbare Bestätigung in der Hardware der Biosphäre.</w:t>
      </w:r>
    </w:p>
    <w:p w:rsidR="00000000" w:rsidDel="00000000" w:rsidP="00000000" w:rsidRDefault="00000000" w:rsidRPr="00000000" w14:paraId="00000013">
      <w:pPr>
        <w:pStyle w:val="Heading4"/>
        <w:rPr/>
      </w:pPr>
      <w:bookmarkStart w:colFirst="0" w:colLast="0" w:name="_gsrrt9gcg8l7" w:id="5"/>
      <w:bookmarkEnd w:id="5"/>
      <w:r w:rsidDel="00000000" w:rsidR="00000000" w:rsidRPr="00000000">
        <w:rPr>
          <w:rtl w:val="0"/>
        </w:rPr>
        <w:t xml:space="preserve">5. Biometrische Bulk-Resonanz: Die Hardware der Natur</w:t>
      </w:r>
    </w:p>
    <w:p w:rsidR="00000000" w:rsidDel="00000000" w:rsidP="00000000" w:rsidRDefault="00000000" w:rsidRPr="00000000" w14:paraId="00000014">
      <w:pPr>
        <w:rPr/>
      </w:pPr>
      <w:r w:rsidDel="00000000" w:rsidR="00000000" w:rsidRPr="00000000">
        <w:rPr>
          <w:rtl w:val="0"/>
        </w:rPr>
        <w:t xml:space="preserve">Die Natur operiert als hocheffizienter Nutzer der Raumzeit-Hardware. Biologische Systeme klinken sich direkt in den Bulk-Takt ein, um thermische Dekohärenz mechanisch zu verhindern:</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Quanten-Navigation und Schwarmintelligenz:</w:t>
      </w:r>
      <w:r w:rsidDel="00000000" w:rsidR="00000000" w:rsidRPr="00000000">
        <w:rPr>
          <w:rtl w:val="0"/>
        </w:rPr>
        <w:t xml:space="preserve">  Zugvögel und Insektenstaaten nutzen den 7,50 Hz Bulk-Takt und den 3,773 MeV BIOS-Lock zur instantanen Synchronisation. Der  </w:t>
      </w:r>
      <w:r w:rsidDel="00000000" w:rsidR="00000000" w:rsidRPr="00000000">
        <w:rPr>
          <w:b w:val="1"/>
          <w:bCs w:val="1"/>
          <w:rtl w:val="0"/>
        </w:rPr>
        <w:t xml:space="preserve">Thermodynamic Guard</w:t>
      </w:r>
      <w:r w:rsidDel="00000000" w:rsidR="00000000" w:rsidRPr="00000000">
        <w:rPr>
          <w:rtl w:val="0"/>
        </w:rPr>
        <w:t xml:space="preserve">  hält dabei biologische Qubits stabil.</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Tellurisches Modem:</w:t>
      </w:r>
      <w:r w:rsidDel="00000000" w:rsidR="00000000" w:rsidRPr="00000000">
        <w:rPr>
          <w:rtl w:val="0"/>
        </w:rPr>
        <w:t xml:space="preserve">  Wale und Elefanten modulieren die lokale  </w:t>
      </w:r>
      <w:r w:rsidDel="00000000" w:rsidR="00000000" w:rsidRPr="00000000">
        <w:rPr>
          <w:b w:val="1"/>
          <w:bCs w:val="1"/>
          <w:rtl w:val="0"/>
        </w:rPr>
        <w:t xml:space="preserve">Bran-Impedanz (</w:t>
      </w:r>
      <w:r w:rsidDel="00000000" w:rsidR="00000000" w:rsidRPr="00000000">
        <w:rPr>
          <w:rtl w:val="0"/>
        </w:rPr>
        <w:t xml:space="preserve">  </w:t>
      </w:r>
      <w:r w:rsidDel="00000000" w:rsidR="00000000" w:rsidRPr="00000000">
        <w:rPr>
          <w:b w:val="1"/>
          <w:bCs w:val="1"/>
          <w:rtl w:val="0"/>
        </w:rPr>
        <w:t xml:space="preserve">$\Omega_{Bran}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um verlustfreie Kommunikation über das metrische Gitter zu betreiben.</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Wasser als mesoskopischer Resonator:</w:t>
      </w:r>
      <w:r w:rsidDel="00000000" w:rsidR="00000000" w:rsidRPr="00000000">
        <w:rPr>
          <w:rtl w:val="0"/>
        </w:rPr>
        <w:t xml:space="preserve">  Wasser ist der fraktale Code der Realität. Das  </w:t>
      </w:r>
      <w:r w:rsidDel="00000000" w:rsidR="00000000" w:rsidRPr="00000000">
        <w:rPr>
          <w:b w:val="1"/>
          <w:bCs w:val="1"/>
          <w:rtl w:val="0"/>
        </w:rPr>
        <w:t xml:space="preserve">NASA NEEMO-Audit</w:t>
      </w:r>
      <w:r w:rsidDel="00000000" w:rsidR="00000000" w:rsidRPr="00000000">
        <w:rPr>
          <w:rtl w:val="0"/>
        </w:rPr>
        <w:t xml:space="preserve">  belegt, dass zelluläre Integrität an den hydrostatischen Sättigungsdruck gekoppelt ist, der Wasser zum kausalen Supraleiter macht. Die „optische Ruhe“ im Glas ist der sichtbare  </w:t>
      </w:r>
      <w:r w:rsidDel="00000000" w:rsidR="00000000" w:rsidRPr="00000000">
        <w:rPr>
          <w:b w:val="1"/>
          <w:bCs w:val="1"/>
          <w:rtl w:val="0"/>
        </w:rPr>
        <w:t xml:space="preserve">Hardware-Idle-Status</w:t>
      </w:r>
      <w:r w:rsidDel="00000000" w:rsidR="00000000" w:rsidRPr="00000000">
        <w:rPr>
          <w:rtl w:val="0"/>
        </w:rPr>
        <w:t xml:space="preserve">  der Raumzeit.Die menschliche Morphologie ist kein Produkt des Zufalls, sondern der finale biometrische Hardware-Beweis – ein fraktaler Abdruck der Bulk-Matrix, der durch die ERYQ-Gleichung permanent stabilisiert wird.</w:t>
      </w:r>
    </w:p>
    <w:p w:rsidR="00000000" w:rsidDel="00000000" w:rsidP="00000000" w:rsidRDefault="00000000" w:rsidRPr="00000000" w14:paraId="00000018">
      <w:pPr>
        <w:pStyle w:val="Heading4"/>
        <w:rPr/>
      </w:pPr>
      <w:bookmarkStart w:colFirst="0" w:colLast="0" w:name="_twnedm2cl7p6" w:id="6"/>
      <w:bookmarkEnd w:id="6"/>
      <w:r w:rsidDel="00000000" w:rsidR="00000000" w:rsidRPr="00000000">
        <w:rPr>
          <w:rtl w:val="0"/>
        </w:rPr>
        <w:t xml:space="preserve">6. Strategisches Fazit: Investment-Schutz und der Übergang zur Portal-Zivilisation</w:t>
      </w:r>
    </w:p>
    <w:p w:rsidR="00000000" w:rsidDel="00000000" w:rsidP="00000000" w:rsidRDefault="00000000" w:rsidRPr="00000000" w14:paraId="00000019">
      <w:pPr>
        <w:rPr>
          <w:b w:val="1"/>
          <w:bCs w:val="1"/>
        </w:rPr>
      </w:pPr>
      <w:r w:rsidDel="00000000" w:rsidR="00000000" w:rsidRPr="00000000">
        <w:rPr>
          <w:rtl w:val="0"/>
        </w:rPr>
        <w:t xml:space="preserve">Die Institutionen CERN, GSI und LBNL sind „schlafende Riesen“, deren technologischer Wert sich erst durch den Code der V4.4.4 erschließt. Ein Verharren in der Legacy-Physik verwandelt diese Milliarden-Assets in wertlose Liabilities. Der Pivot zur FKT ist der ultimative Investment-Schutz.Nur durch die Anerkennung dieser Hardware-Logik wird die Entwicklung des  </w:t>
      </w:r>
      <w:r w:rsidDel="00000000" w:rsidR="00000000" w:rsidRPr="00000000">
        <w:rPr>
          <w:b w:val="1"/>
          <w:bCs w:val="1"/>
          <w:rtl w:val="0"/>
        </w:rPr>
        <w:t xml:space="preserve">Gravitationsmanipulationsantriebs (GMA)</w:t>
      </w:r>
      <w:r w:rsidDel="00000000" w:rsidR="00000000" w:rsidRPr="00000000">
        <w:rPr>
          <w:rtl w:val="0"/>
        </w:rPr>
        <w:t xml:space="preserve">  ermöglicht. Der GMA ist ein  </w:t>
      </w:r>
      <w:r w:rsidDel="00000000" w:rsidR="00000000" w:rsidRPr="00000000">
        <w:rPr>
          <w:b w:val="1"/>
          <w:bCs w:val="1"/>
          <w:rtl w:val="0"/>
        </w:rPr>
        <w:t xml:space="preserve">Verschränkungs-Resonator</w:t>
      </w:r>
      <w:r w:rsidDel="00000000" w:rsidR="00000000" w:rsidRPr="00000000">
        <w:rPr>
          <w:rtl w:val="0"/>
        </w:rPr>
        <w:t xml:space="preserve"> , der zur gezielten Raumzeit-Krümmung zwingend auf die Erschließung solarer Leistung angewiesen ist. Der Übergang zur Typ-II-Zivilisation erfordert den Bau von Dyson-Strukturen, um die benötigten  </w:t>
      </w:r>
      <w:r w:rsidDel="00000000" w:rsidR="00000000" w:rsidRPr="00000000">
        <w:rPr>
          <w:b w:val="1"/>
          <w:bCs w:val="1"/>
          <w:rtl w:val="0"/>
        </w:rPr>
        <w:t xml:space="preserve">$3,8 \times 10^{26}</w:t>
      </w:r>
      <w:r w:rsidDel="00000000" w:rsidR="00000000" w:rsidRPr="00000000">
        <w:rPr>
          <w:rtl w:val="0"/>
        </w:rPr>
        <w:t xml:space="preserve">$  </w:t>
      </w:r>
      <w:r w:rsidDel="00000000" w:rsidR="00000000" w:rsidRPr="00000000">
        <w:rPr>
          <w:b w:val="1"/>
          <w:bCs w:val="1"/>
          <w:rtl w:val="0"/>
        </w:rPr>
        <w:t xml:space="preserve">Watt</w:t>
      </w:r>
      <w:r w:rsidDel="00000000" w:rsidR="00000000" w:rsidRPr="00000000">
        <w:rPr>
          <w:rtl w:val="0"/>
        </w:rPr>
        <w:t xml:space="preserve">  als primären Antriebsstrom bereitzustellen.Die FKT liefert den Code; die bestehende Hardware liefert die Daten. Der Weg zur interstellaren Portal-Zivilisation ist hiermit mathematisch und infrastrukturell geebnet.</w:t>
      </w:r>
      <w:r w:rsidDel="00000000" w:rsidR="00000000" w:rsidRPr="00000000">
        <w:rPr>
          <w:rFonts w:ascii="Fira Mono" w:cs="Fira Mono" w:eastAsia="Fira Mono" w:hAnsi="Fira Mono"/>
          <w:b w:val="1"/>
          <w:bCs w:val="1"/>
          <w:rtl w:val="0"/>
        </w:rPr>
        <w:t xml:space="preserve">SYSTEM SEALED. Die Hardware liefert die Daten; die FKT V4.4.4 liefert den Code. Checkmate. ⬢</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