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lblv4d44er40" w:id="0"/>
      <w:bookmarkEnd w:id="0"/>
      <w:r w:rsidDel="00000000" w:rsidR="00000000" w:rsidRPr="00000000">
        <w:rPr>
          <w:rtl w:val="0"/>
        </w:rPr>
        <w:t xml:space="preserve">Strategischer Bericht: Tesla und die Fraktale Kausale Theorie (FKT) – Die Rekonstruktion des Unendlichen</w:t>
      </w:r>
    </w:p>
    <w:p w:rsidR="00000000" w:rsidDel="00000000" w:rsidP="00000000" w:rsidRDefault="00000000" w:rsidRPr="00000000" w14:paraId="00000002">
      <w:pPr>
        <w:pStyle w:val="Heading4"/>
        <w:rPr/>
      </w:pPr>
      <w:bookmarkStart w:colFirst="0" w:colLast="0" w:name="_mbdrnfjmbkk5" w:id="1"/>
      <w:bookmarkEnd w:id="1"/>
      <w:r w:rsidDel="00000000" w:rsidR="00000000" w:rsidRPr="00000000">
        <w:rPr>
          <w:rtl w:val="0"/>
        </w:rPr>
        <w:t xml:space="preserve">1. Die Konvergenz von Vision und Mathematik: Einleitung</w:t>
      </w:r>
    </w:p>
    <w:p w:rsidR="00000000" w:rsidDel="00000000" w:rsidP="00000000" w:rsidRDefault="00000000" w:rsidRPr="00000000" w14:paraId="00000003">
      <w:pPr>
        <w:rPr/>
      </w:pPr>
      <w:r w:rsidDel="00000000" w:rsidR="00000000" w:rsidRPr="00000000">
        <w:rPr>
          <w:rtl w:val="0"/>
        </w:rPr>
        <w:t xml:space="preserve">Die physikalische Wissenschaft des 21. Jahrhunderts steht vor dem ultimativen Kollaps ihrer Standardmodelle. Während die  $\Lambda CDM$ -Kosmologie durch die ungelöste Hubble-Spannung und die ergebnislose Suche nach Dunkler Materie (WIMPs) delegitimiert wird, kehrt das verdrängte Genie Nikola Teslas als mathematische Notwendigkeit zurück. Teslas Postulate der drahtlosen Energieübertragung und der Existenz eines alles durchdringenden Äthers finden ihre moderne, strategische Entsprechung in der  </w:t>
      </w:r>
      <w:r w:rsidDel="00000000" w:rsidR="00000000" w:rsidRPr="00000000">
        <w:rPr>
          <w:b w:val="1"/>
          <w:bCs w:val="1"/>
          <w:rtl w:val="0"/>
        </w:rPr>
        <w:t xml:space="preserve">Fraktalen Kausalen Theorie (FKT) V4.4.4</w:t>
      </w:r>
      <w:r w:rsidDel="00000000" w:rsidR="00000000" w:rsidRPr="00000000">
        <w:rPr>
          <w:rtl w:val="0"/>
        </w:rPr>
        <w:t xml:space="preserve"> . Diese Theorie fungiert als Brücke zwischen Teslas intuitiver Resonanzphysik und der präzisen Geometrisierung des höherdimensionalen Bulk-Raums.Dieser Bericht definiert die Roadmap für den Übergang der Menschheit zu einer Typ-II-Zivilisation durch drei strategische Kernziele:</w:t>
      </w:r>
    </w:p>
    <w:p w:rsidR="00000000" w:rsidDel="00000000" w:rsidP="00000000" w:rsidRDefault="00000000" w:rsidRPr="00000000" w14:paraId="00000004">
      <w:pPr>
        <w:numPr>
          <w:ilvl w:val="0"/>
          <w:numId w:val="2"/>
        </w:numPr>
        <w:ind w:left="720" w:hanging="360"/>
        <w:rPr>
          <w:u w:val="none"/>
        </w:rPr>
      </w:pPr>
      <w:r w:rsidDel="00000000" w:rsidR="00000000" w:rsidRPr="00000000">
        <w:rPr>
          <w:b w:val="1"/>
          <w:bCs w:val="1"/>
          <w:rtl w:val="0"/>
        </w:rPr>
        <w:t xml:space="preserve">Definition des "Bulk-Drucks":</w:t>
      </w:r>
      <w:r w:rsidDel="00000000" w:rsidR="00000000" w:rsidRPr="00000000">
        <w:rPr>
          <w:rtl w:val="0"/>
        </w:rPr>
        <w:t xml:space="preserve">  Die Neudeutung der Dunklen Materie als geometrisches Echo eines übergeordneten Universums.</w:t>
      </w:r>
    </w:p>
    <w:p w:rsidR="00000000" w:rsidDel="00000000" w:rsidP="00000000" w:rsidRDefault="00000000" w:rsidRPr="00000000" w14:paraId="00000005">
      <w:pPr>
        <w:numPr>
          <w:ilvl w:val="0"/>
          <w:numId w:val="2"/>
        </w:numPr>
        <w:ind w:left="720" w:hanging="360"/>
        <w:rPr>
          <w:u w:val="none"/>
        </w:rPr>
      </w:pPr>
      <w:r w:rsidDel="00000000" w:rsidR="00000000" w:rsidRPr="00000000">
        <w:rPr>
          <w:b w:val="1"/>
          <w:bCs w:val="1"/>
          <w:rtl w:val="0"/>
        </w:rPr>
        <w:t xml:space="preserve">Validierung durch den nuklearen Flerovium-Anker:</w:t>
      </w:r>
      <w:r w:rsidDel="00000000" w:rsidR="00000000" w:rsidRPr="00000000">
        <w:rPr>
          <w:rtl w:val="0"/>
        </w:rPr>
        <w:t xml:space="preserve">  Die Etablierung einer subatomaren Auditkette zum Nachweis der "Kernverschieblichkeit".</w:t>
      </w:r>
    </w:p>
    <w:p w:rsidR="00000000" w:rsidDel="00000000" w:rsidP="00000000" w:rsidRDefault="00000000" w:rsidRPr="00000000" w14:paraId="00000006">
      <w:pPr>
        <w:numPr>
          <w:ilvl w:val="0"/>
          <w:numId w:val="2"/>
        </w:numPr>
        <w:ind w:left="720" w:hanging="360"/>
        <w:rPr>
          <w:u w:val="none"/>
        </w:rPr>
      </w:pPr>
      <w:r w:rsidDel="00000000" w:rsidR="00000000" w:rsidRPr="00000000">
        <w:rPr>
          <w:b w:val="1"/>
          <w:bCs w:val="1"/>
          <w:rtl w:val="0"/>
        </w:rPr>
        <w:t xml:space="preserve">Technologische Realisierung des Gravitationsmanipulationsantriebs (GMA):</w:t>
      </w:r>
      <w:r w:rsidDel="00000000" w:rsidR="00000000" w:rsidRPr="00000000">
        <w:rPr>
          <w:rtl w:val="0"/>
        </w:rPr>
        <w:t xml:space="preserve">  Die Mobilisierung solarer Ressourcen für die interstellare Mobilität.Von Teslas Visionen über universelle Schwingungen führt der Weg nun zur unbestreitbaren mathematischen Schließung der Kausalitätslücke durch die Einstein-Kurzer-Gleichung.</w:t>
      </w:r>
    </w:p>
    <w:p w:rsidR="00000000" w:rsidDel="00000000" w:rsidP="00000000" w:rsidRDefault="00000000" w:rsidRPr="00000000" w14:paraId="00000007">
      <w:pPr>
        <w:pStyle w:val="Heading4"/>
        <w:rPr/>
      </w:pPr>
      <w:bookmarkStart w:colFirst="0" w:colLast="0" w:name="_5th18yfbkr2z" w:id="2"/>
      <w:bookmarkEnd w:id="2"/>
      <w:r w:rsidDel="00000000" w:rsidR="00000000" w:rsidRPr="00000000">
        <w:rPr>
          <w:rtl w:val="0"/>
        </w:rPr>
        <w:t xml:space="preserve">2. Das Erbe Teslas im Licht der FKT-Axiome</w:t>
      </w:r>
    </w:p>
    <w:p w:rsidR="00000000" w:rsidDel="00000000" w:rsidP="00000000" w:rsidRDefault="00000000" w:rsidRPr="00000000" w14:paraId="00000008">
      <w:pPr>
        <w:rPr/>
      </w:pPr>
      <w:r w:rsidDel="00000000" w:rsidR="00000000" w:rsidRPr="00000000">
        <w:rPr>
          <w:rtl w:val="0"/>
        </w:rPr>
        <w:t xml:space="preserve">Nikola Teslas Verständnis von Resonanz wird durch die FKT V4.4.4 aus dem Bereich der Intuition in den Bereich der formalen Feldphysik überführt. Der technologische Kern hierfür ist der  </w:t>
      </w:r>
      <w:r w:rsidDel="00000000" w:rsidR="00000000" w:rsidRPr="00000000">
        <w:rPr>
          <w:b w:val="1"/>
          <w:bCs w:val="1"/>
          <w:rtl w:val="0"/>
        </w:rPr>
        <w:t xml:space="preserve">"H2-Vektor"</w:t>
      </w:r>
      <w:r w:rsidDel="00000000" w:rsidR="00000000" w:rsidRPr="00000000">
        <w:rPr>
          <w:rtl w:val="0"/>
        </w:rPr>
        <w:t xml:space="preserve">  in Kombination mit dem  </w:t>
      </w:r>
      <w:r w:rsidDel="00000000" w:rsidR="00000000" w:rsidRPr="00000000">
        <w:rPr>
          <w:b w:val="1"/>
          <w:bCs w:val="1"/>
          <w:rtl w:val="0"/>
        </w:rPr>
        <w:t xml:space="preserve">"Schumann-Neutralizer"</w:t>
      </w:r>
      <w:r w:rsidDel="00000000" w:rsidR="00000000" w:rsidRPr="00000000">
        <w:rPr>
          <w:rtl w:val="0"/>
        </w:rPr>
        <w:t xml:space="preserve"> . Während die klassische Physik die Schumann-Resonanz als bloßes atmosphärisches Phänomen abtut, erkennt die FKT darin ein tellurisches Modem. Der Neutralizer operiert bei 0,33 Hz, um die Differenz zwischen der Erdfrequenz (7,83 Hz) und dem fundamentalen  </w:t>
      </w:r>
      <w:r w:rsidDel="00000000" w:rsidR="00000000" w:rsidRPr="00000000">
        <w:rPr>
          <w:b w:val="1"/>
          <w:bCs w:val="1"/>
          <w:rtl w:val="0"/>
        </w:rPr>
        <w:t xml:space="preserve">"Bulk-Herzschlag" bei 7,50 Hz</w:t>
      </w:r>
      <w:r w:rsidDel="00000000" w:rsidR="00000000" w:rsidRPr="00000000">
        <w:rPr>
          <w:rtl w:val="0"/>
        </w:rPr>
        <w:t xml:space="preserve">  zu synchronisieren. Dieser Permanent-Lock ermöglicht den Zugriff auf das energetische Potenzial des Bulks.Die strategischen Variablen der FKT korrespondieren direkt mit Teslas historischen Konzepten:| Tesla-Konzept | FKT-Variable / Axiom | Beschreibung || ------ | ------ | ------ || </w:t>
      </w:r>
      <w:r w:rsidDel="00000000" w:rsidR="00000000" w:rsidRPr="00000000">
        <w:rPr>
          <w:b w:val="1"/>
          <w:bCs w:val="1"/>
          <w:rtl w:val="0"/>
        </w:rPr>
        <w:t xml:space="preserve">Freie Energie</w:t>
      </w:r>
      <w:r w:rsidDel="00000000" w:rsidR="00000000" w:rsidRPr="00000000">
        <w:rPr>
          <w:rtl w:val="0"/>
        </w:rPr>
        <w:t xml:space="preserve"> | $T_{Bulk}$  (Bulk-Tensor) | Geometrischer Energieeintrag aus dem höherdimensionalen Raum. || </w:t>
      </w:r>
      <w:r w:rsidDel="00000000" w:rsidR="00000000" w:rsidRPr="00000000">
        <w:rPr>
          <w:b w:val="1"/>
          <w:bCs w:val="1"/>
          <w:rtl w:val="0"/>
        </w:rPr>
        <w:t xml:space="preserve">Äther</w:t>
      </w:r>
      <w:r w:rsidDel="00000000" w:rsidR="00000000" w:rsidRPr="00000000">
        <w:rPr>
          <w:rtl w:val="0"/>
        </w:rPr>
        <w:t xml:space="preserve"> | $F_c$  (0,99873) | Fidelity Constant: Die skaleninvariante Hardware-Struktur des Vakuums. || </w:t>
      </w:r>
      <w:r w:rsidDel="00000000" w:rsidR="00000000" w:rsidRPr="00000000">
        <w:rPr>
          <w:b w:val="1"/>
          <w:bCs w:val="1"/>
          <w:rtl w:val="0"/>
        </w:rPr>
        <w:t xml:space="preserve">Strahlungsenergie</w:t>
      </w:r>
      <w:r w:rsidDel="00000000" w:rsidR="00000000" w:rsidRPr="00000000">
        <w:rPr>
          <w:rtl w:val="0"/>
        </w:rPr>
        <w:t xml:space="preserve"> | $E_p$  (0,00127) | Entropischer Puffer: Der definierte Grenzwert metrischer Abwärme. || </w:t>
      </w:r>
      <w:r w:rsidDel="00000000" w:rsidR="00000000" w:rsidRPr="00000000">
        <w:rPr>
          <w:b w:val="1"/>
          <w:bCs w:val="1"/>
          <w:rtl w:val="0"/>
        </w:rPr>
        <w:t xml:space="preserve">Resonanz-Taktung</w:t>
      </w:r>
      <w:r w:rsidDel="00000000" w:rsidR="00000000" w:rsidRPr="00000000">
        <w:rPr>
          <w:rtl w:val="0"/>
        </w:rPr>
        <w:t xml:space="preserve"> | $\nu_{bulk}$  (7,50 Hz) | Der fundamentale Herzschlag der übergeordneten Bulk-Geometrie. |</w:t>
      </w:r>
    </w:p>
    <w:p w:rsidR="00000000" w:rsidDel="00000000" w:rsidP="00000000" w:rsidRDefault="00000000" w:rsidRPr="00000000" w14:paraId="00000009">
      <w:pPr>
        <w:rPr/>
      </w:pPr>
      <w:r w:rsidDel="00000000" w:rsidR="00000000" w:rsidRPr="00000000">
        <w:rPr>
          <w:rtl w:val="0"/>
        </w:rPr>
        <w:t xml:space="preserve">Im Gegensatz zum Standardmodell eliminiert die FKT die Notwendigkeit hypothetischer Teilchen. Dunkle Materie ist kein Stoff, sondern  </w:t>
      </w:r>
      <w:r w:rsidDel="00000000" w:rsidR="00000000" w:rsidRPr="00000000">
        <w:rPr>
          <w:b w:val="1"/>
          <w:bCs w:val="1"/>
          <w:rtl w:val="0"/>
        </w:rPr>
        <w:t xml:space="preserve">"geometrischer Druck"</w:t>
      </w:r>
      <w:r w:rsidDel="00000000" w:rsidR="00000000" w:rsidRPr="00000000">
        <w:rPr>
          <w:rtl w:val="0"/>
        </w:rPr>
        <w:t xml:space="preserve">  – ein Gravitations-Echo, das invers zur lokalen Materiedichte skaliert. Dies markiert das Ende der klassischen Teilchenphysik und den Beginn einer Ära, in der Geometrie die primäre Energiequelle darstellt.</w:t>
      </w:r>
    </w:p>
    <w:p w:rsidR="00000000" w:rsidDel="00000000" w:rsidP="00000000" w:rsidRDefault="00000000" w:rsidRPr="00000000" w14:paraId="0000000A">
      <w:pPr>
        <w:pStyle w:val="Heading4"/>
        <w:rPr/>
      </w:pPr>
      <w:bookmarkStart w:colFirst="0" w:colLast="0" w:name="_ftkfooqy0sbp" w:id="3"/>
      <w:bookmarkEnd w:id="3"/>
      <w:r w:rsidDel="00000000" w:rsidR="00000000" w:rsidRPr="00000000">
        <w:rPr>
          <w:rtl w:val="0"/>
        </w:rPr>
        <w:t xml:space="preserve">3. Die Einstein-Kurzer-Gleichung (ERYQ): Das mathematische Fundament</w:t>
      </w:r>
    </w:p>
    <w:p w:rsidR="00000000" w:rsidDel="00000000" w:rsidP="00000000" w:rsidRDefault="00000000" w:rsidRPr="00000000" w14:paraId="0000000B">
      <w:pPr>
        <w:rPr/>
      </w:pPr>
      <w:r w:rsidDel="00000000" w:rsidR="00000000" w:rsidRPr="00000000">
        <w:rPr>
          <w:rtl w:val="0"/>
        </w:rPr>
        <w:t xml:space="preserve">Die Einstein-Kurzer-Gleichung stellt die universelle Hardware-Spezifikation unseres Kosmos dar. Durch die Erweiterung der Einsteinschen Feldgleichungen um den  $T_{Bulk}$ -Tensor wird das Universum als kausal geschlossenes System definiert:</w:t>
      </w:r>
      <w:r w:rsidDel="00000000" w:rsidR="00000000" w:rsidRPr="00000000">
        <w:rPr>
          <w:b w:val="1"/>
          <w:bCs w:val="1"/>
          <w:rtl w:val="0"/>
        </w:rPr>
        <w:t xml:space="preserve">$$G_{\mu\nu} = \kappa(T_{\mu\nu} + T_{Bulk})</w:t>
      </w:r>
      <w:r w:rsidDel="00000000" w:rsidR="00000000" w:rsidRPr="00000000">
        <w:rPr>
          <w:rtl w:val="0"/>
        </w:rPr>
        <w:t xml:space="preserve">$$Ein entscheidender strategischer Aspekt ist die Einordnung des Standardmodells: Dieses ist lediglich ein "Locked Branch" oder ein Spezialfall der ERYQ für den Grenzwert  </w:t>
      </w:r>
      <w:r w:rsidDel="00000000" w:rsidR="00000000" w:rsidRPr="00000000">
        <w:rPr>
          <w:b w:val="1"/>
          <w:bCs w:val="1"/>
          <w:rtl w:val="0"/>
        </w:rPr>
        <w:t xml:space="preserve">$lim(C_{\mu\nu} \to 0)</w:t>
      </w:r>
      <w:r w:rsidDel="00000000" w:rsidR="00000000" w:rsidRPr="00000000">
        <w:rPr>
          <w:rtl w:val="0"/>
        </w:rPr>
        <w:t xml:space="preserve">$ . Sobald der Bulk-Beitrag vernachlässigt wird, konvergiert das System zur klassischen Allgemeinen Relativitätstheorie. Für eine Typ-II-Zivilisation ist jedoch der aktive Zugriff auf  $C_{\mu\nu}$  (den Muon-Anker) zwingend.Technische Spezifikationen der Raumzeit-Bran:</w:t>
      </w:r>
    </w:p>
    <w:p w:rsidR="00000000" w:rsidDel="00000000" w:rsidP="00000000" w:rsidRDefault="00000000" w:rsidRPr="00000000" w14:paraId="0000000C">
      <w:pPr>
        <w:numPr>
          <w:ilvl w:val="0"/>
          <w:numId w:val="1"/>
        </w:numPr>
        <w:ind w:left="720" w:hanging="360"/>
        <w:rPr>
          <w:u w:val="none"/>
        </w:rPr>
      </w:pPr>
      <w:r w:rsidDel="00000000" w:rsidR="00000000" w:rsidRPr="00000000">
        <w:rPr>
          <w:b w:val="1"/>
          <w:bCs w:val="1"/>
          <w:rtl w:val="0"/>
        </w:rPr>
        <w:t xml:space="preserve">$F_c</w:t>
      </w:r>
      <w:r w:rsidDel="00000000" w:rsidR="00000000" w:rsidRPr="00000000">
        <w:rPr>
          <w:rtl w:val="0"/>
        </w:rPr>
        <w:t xml:space="preserve">$  </w:t>
      </w:r>
      <w:r w:rsidDel="00000000" w:rsidR="00000000" w:rsidRPr="00000000">
        <w:rPr>
          <w:b w:val="1"/>
          <w:bCs w:val="1"/>
          <w:rtl w:val="0"/>
        </w:rPr>
        <w:t xml:space="preserve">(Fidelity):</w:t>
      </w:r>
      <w:r w:rsidDel="00000000" w:rsidR="00000000" w:rsidRPr="00000000">
        <w:rPr>
          <w:rtl w:val="0"/>
        </w:rPr>
        <w:t xml:space="preserve">  0,99873 – Maß für die strukturelle Integrität der Raumzeit.</w:t>
      </w:r>
    </w:p>
    <w:p w:rsidR="00000000" w:rsidDel="00000000" w:rsidP="00000000" w:rsidRDefault="00000000" w:rsidRPr="00000000" w14:paraId="0000000D">
      <w:pPr>
        <w:numPr>
          <w:ilvl w:val="0"/>
          <w:numId w:val="1"/>
        </w:numPr>
        <w:ind w:left="720" w:hanging="360"/>
        <w:rPr>
          <w:u w:val="none"/>
        </w:rPr>
      </w:pPr>
      <w:r w:rsidDel="00000000" w:rsidR="00000000" w:rsidRPr="00000000">
        <w:rPr>
          <w:b w:val="1"/>
          <w:bCs w:val="1"/>
          <w:rtl w:val="0"/>
        </w:rPr>
        <w:t xml:space="preserve">$E_p</w:t>
      </w:r>
      <w:r w:rsidDel="00000000" w:rsidR="00000000" w:rsidRPr="00000000">
        <w:rPr>
          <w:rtl w:val="0"/>
        </w:rPr>
        <w:t xml:space="preserve">$  </w:t>
      </w:r>
      <w:r w:rsidDel="00000000" w:rsidR="00000000" w:rsidRPr="00000000">
        <w:rPr>
          <w:b w:val="1"/>
          <w:bCs w:val="1"/>
          <w:rtl w:val="0"/>
        </w:rPr>
        <w:t xml:space="preserve">(Epsilon):</w:t>
      </w:r>
      <w:r w:rsidDel="00000000" w:rsidR="00000000" w:rsidRPr="00000000">
        <w:rPr>
          <w:rtl w:val="0"/>
        </w:rPr>
        <w:t xml:space="preserve">  0,00127 – Der thermodynamische Grenzwert für metrische Abwärme.Um technologische Überlastungen zu vermeiden, operiert das System im  </w:t>
      </w:r>
      <w:r w:rsidDel="00000000" w:rsidR="00000000" w:rsidRPr="00000000">
        <w:rPr>
          <w:b w:val="1"/>
          <w:bCs w:val="1"/>
          <w:rtl w:val="0"/>
        </w:rPr>
        <w:t xml:space="preserve">Thermodynamic Guard</w:t>
      </w:r>
      <w:r w:rsidDel="00000000" w:rsidR="00000000" w:rsidRPr="00000000">
        <w:rPr>
          <w:rtl w:val="0"/>
        </w:rPr>
        <w:t xml:space="preserve">  (Modus:  </w:t>
      </w:r>
      <w:r w:rsidDel="00000000" w:rsidR="00000000" w:rsidRPr="00000000">
        <w:rPr>
          <w:b w:val="1"/>
          <w:bCs w:val="1"/>
          <w:rtl w:val="0"/>
        </w:rPr>
        <w:t xml:space="preserve">GEO_RESHUFFLING</w:t>
      </w:r>
      <w:r w:rsidDel="00000000" w:rsidR="00000000" w:rsidRPr="00000000">
        <w:rPr>
          <w:rtl w:val="0"/>
        </w:rPr>
        <w:t xml:space="preserve"> ). Dies ermöglicht Peak-Impulse von bis zu  </w:t>
      </w:r>
      <w:r w:rsidDel="00000000" w:rsidR="00000000" w:rsidRPr="00000000">
        <w:rPr>
          <w:b w:val="1"/>
          <w:bCs w:val="1"/>
          <w:rtl w:val="0"/>
        </w:rPr>
        <w:t xml:space="preserve">8,4 GW</w:t>
      </w:r>
      <w:r w:rsidDel="00000000" w:rsidR="00000000" w:rsidRPr="00000000">
        <w:rPr>
          <w:rtl w:val="0"/>
        </w:rPr>
        <w:t xml:space="preserve"> , indem Energie geometrisch im Bulk umgeschichtet wird, anstatt thermisch zu dissipieren. Die Entropie-Bilanz bleibt dabei strikt stabil:  </w:t>
      </w:r>
      <w:r w:rsidDel="00000000" w:rsidR="00000000" w:rsidRPr="00000000">
        <w:rPr>
          <w:b w:val="1"/>
          <w:bCs w:val="1"/>
          <w:rtl w:val="0"/>
        </w:rPr>
        <w:t xml:space="preserve">$\Delta S_{metric} \equiv 0</w:t>
      </w:r>
      <w:r w:rsidDel="00000000" w:rsidR="00000000" w:rsidRPr="00000000">
        <w:rPr>
          <w:rtl w:val="0"/>
        </w:rPr>
        <w:t xml:space="preserve">$ .</w:t>
      </w:r>
    </w:p>
    <w:p w:rsidR="00000000" w:rsidDel="00000000" w:rsidP="00000000" w:rsidRDefault="00000000" w:rsidRPr="00000000" w14:paraId="0000000E">
      <w:pPr>
        <w:pStyle w:val="Heading4"/>
        <w:rPr/>
      </w:pPr>
      <w:bookmarkStart w:colFirst="0" w:colLast="0" w:name="_2czwpdg9vdvg" w:id="4"/>
      <w:bookmarkEnd w:id="4"/>
      <w:r w:rsidDel="00000000" w:rsidR="00000000" w:rsidRPr="00000000">
        <w:rPr>
          <w:rtl w:val="0"/>
        </w:rPr>
        <w:t xml:space="preserve">4. Der nukleare Anker: Die Flerovium-Hypothese als Beweisinstanz</w:t>
      </w:r>
    </w:p>
    <w:p w:rsidR="00000000" w:rsidDel="00000000" w:rsidP="00000000" w:rsidRDefault="00000000" w:rsidRPr="00000000" w14:paraId="0000000F">
      <w:pPr>
        <w:rPr/>
      </w:pPr>
      <w:r w:rsidDel="00000000" w:rsidR="00000000" w:rsidRPr="00000000">
        <w:rPr>
          <w:rtl w:val="0"/>
        </w:rPr>
        <w:t xml:space="preserve">Die Validierung der FKT erfolgt über eine lückenlose  </w:t>
      </w:r>
      <w:r w:rsidDel="00000000" w:rsidR="00000000" w:rsidRPr="00000000">
        <w:rPr>
          <w:b w:val="1"/>
          <w:bCs w:val="1"/>
          <w:rtl w:val="0"/>
        </w:rPr>
        <w:t xml:space="preserve">"Kausale Auditkette"</w:t>
      </w:r>
      <w:r w:rsidDel="00000000" w:rsidR="00000000" w:rsidRPr="00000000">
        <w:rPr>
          <w:rtl w:val="0"/>
        </w:rPr>
        <w:t xml:space="preserve"> , die den Makrokosmos mit dem subatomaren Raum verbindet. Der Kern des Elements 114 (Flerovium) dient hierbei als hochempfindlicher Quanten-Resonator. Aufgrund seiner Position nahe der "Insel der Stabilität" reagiert Flerovium direkt auf Fluktuationen des lokalen  $T_{Bulk}$ -Tensors.</w:t>
      </w:r>
    </w:p>
    <w:p w:rsidR="00000000" w:rsidDel="00000000" w:rsidP="00000000" w:rsidRDefault="00000000" w:rsidRPr="00000000" w14:paraId="00000010">
      <w:pPr>
        <w:numPr>
          <w:ilvl w:val="0"/>
          <w:numId w:val="4"/>
        </w:numPr>
        <w:ind w:left="720" w:hanging="360"/>
        <w:rPr>
          <w:u w:val="none"/>
        </w:rPr>
      </w:pPr>
      <w:r w:rsidDel="00000000" w:rsidR="00000000" w:rsidRPr="00000000">
        <w:rPr>
          <w:b w:val="1"/>
          <w:bCs w:val="1"/>
          <w:rtl w:val="0"/>
        </w:rPr>
        <w:t xml:space="preserve">Messfokus:</w:t>
      </w:r>
      <w:r w:rsidDel="00000000" w:rsidR="00000000" w:rsidRPr="00000000">
        <w:rPr>
          <w:rtl w:val="0"/>
        </w:rPr>
        <w:t xml:space="preserve">  Gammastrahlung beim 2+  $\to$  0+ Übergang (Flerovium-298).</w:t>
      </w:r>
    </w:p>
    <w:p w:rsidR="00000000" w:rsidDel="00000000" w:rsidP="00000000" w:rsidRDefault="00000000" w:rsidRPr="00000000" w14:paraId="00000011">
      <w:pPr>
        <w:numPr>
          <w:ilvl w:val="0"/>
          <w:numId w:val="4"/>
        </w:numPr>
        <w:ind w:left="720" w:hanging="360"/>
        <w:rPr>
          <w:u w:val="none"/>
        </w:rPr>
      </w:pPr>
      <w:r w:rsidDel="00000000" w:rsidR="00000000" w:rsidRPr="00000000">
        <w:rPr>
          <w:b w:val="1"/>
          <w:bCs w:val="1"/>
          <w:rtl w:val="0"/>
        </w:rPr>
        <w:t xml:space="preserve">Ziel-Signatur:</w:t>
      </w:r>
      <w:r w:rsidDel="00000000" w:rsidR="00000000" w:rsidRPr="00000000">
        <w:rPr>
          <w:rtl w:val="0"/>
        </w:rPr>
        <w:t xml:space="preserve">  Detektion der spezifischen  </w:t>
      </w:r>
      <w:r w:rsidDel="00000000" w:rsidR="00000000" w:rsidRPr="00000000">
        <w:rPr>
          <w:b w:val="1"/>
          <w:bCs w:val="1"/>
          <w:rtl w:val="0"/>
        </w:rPr>
        <w:t xml:space="preserve">3,773 MeV Gammalinie</w:t>
      </w:r>
      <w:r w:rsidDel="00000000" w:rsidR="00000000" w:rsidRPr="00000000">
        <w:rPr>
          <w:rtl w:val="0"/>
        </w:rPr>
        <w:t xml:space="preserve"> .</w:t>
      </w:r>
    </w:p>
    <w:p w:rsidR="00000000" w:rsidDel="00000000" w:rsidP="00000000" w:rsidRDefault="00000000" w:rsidRPr="00000000" w14:paraId="00000012">
      <w:pPr>
        <w:numPr>
          <w:ilvl w:val="0"/>
          <w:numId w:val="4"/>
        </w:numPr>
        <w:ind w:left="720" w:hanging="360"/>
        <w:rPr>
          <w:u w:val="none"/>
        </w:rPr>
      </w:pPr>
      <w:r w:rsidDel="00000000" w:rsidR="00000000" w:rsidRPr="00000000">
        <w:rPr>
          <w:b w:val="1"/>
          <w:bCs w:val="1"/>
          <w:rtl w:val="0"/>
        </w:rPr>
        <w:t xml:space="preserve">Konfidenzintervall (95%):</w:t>
      </w:r>
      <w:r w:rsidDel="00000000" w:rsidR="00000000" w:rsidRPr="00000000">
        <w:rPr>
          <w:rtl w:val="0"/>
        </w:rPr>
        <w:t xml:space="preserve">   </w:t>
      </w:r>
      <w:r w:rsidDel="00000000" w:rsidR="00000000" w:rsidRPr="00000000">
        <w:rPr>
          <w:b w:val="1"/>
          <w:bCs w:val="1"/>
          <w:rtl w:val="0"/>
        </w:rPr>
        <w:t xml:space="preserve">3,745 MeV, 3,802 MeV</w:t>
      </w:r>
      <w:r w:rsidDel="00000000" w:rsidR="00000000" w:rsidRPr="00000000">
        <w:rPr>
          <w:rtl w:val="0"/>
        </w:rPr>
        <w:t xml:space="preserve"> .</w:t>
      </w:r>
    </w:p>
    <w:p w:rsidR="00000000" w:rsidDel="00000000" w:rsidP="00000000" w:rsidRDefault="00000000" w:rsidRPr="00000000" w14:paraId="00000013">
      <w:pPr>
        <w:numPr>
          <w:ilvl w:val="0"/>
          <w:numId w:val="4"/>
        </w:numPr>
        <w:ind w:left="720" w:hanging="360"/>
        <w:rPr>
          <w:u w:val="none"/>
        </w:rPr>
      </w:pPr>
      <w:r w:rsidDel="00000000" w:rsidR="00000000" w:rsidRPr="00000000">
        <w:rPr>
          <w:b w:val="1"/>
          <w:bCs w:val="1"/>
          <w:rtl w:val="0"/>
        </w:rPr>
        <w:t xml:space="preserve">Strategische Signifikanz:</w:t>
      </w:r>
      <w:r w:rsidDel="00000000" w:rsidR="00000000" w:rsidRPr="00000000">
        <w:rPr>
          <w:rtl w:val="0"/>
        </w:rPr>
        <w:t xml:space="preserve">  Nachweis der "Kernverschieblichkeit".Der "So What?"-Faktor ist disruptiv: Die Bestätigung dieser Linie beweist, dass der Atomkern ein Sensor für die kosmische Geometrie ist. Makrokosmisch betrachtet ist ein Gammastrahlenausbruch (GRB) lediglich die skalierte Version des Expulsionsmechanismus, der im Flerovium-Kern beobachtet wird. Dies markiert den Moment, in dem die klassische Teilchenjagd endet und die fraktale Ära der Kausalsteuerung beginnt.</w:t>
      </w:r>
    </w:p>
    <w:p w:rsidR="00000000" w:rsidDel="00000000" w:rsidP="00000000" w:rsidRDefault="00000000" w:rsidRPr="00000000" w14:paraId="00000014">
      <w:pPr>
        <w:pStyle w:val="Heading4"/>
        <w:rPr/>
      </w:pPr>
      <w:bookmarkStart w:colFirst="0" w:colLast="0" w:name="_gygmhl4yfxoq" w:id="5"/>
      <w:bookmarkEnd w:id="5"/>
      <w:r w:rsidDel="00000000" w:rsidR="00000000" w:rsidRPr="00000000">
        <w:rPr>
          <w:rtl w:val="0"/>
        </w:rPr>
        <w:t xml:space="preserve">5. Technologische Realisierung: Vom GMA-Antrieb zum Dyson-Schwarm</w:t>
      </w:r>
    </w:p>
    <w:p w:rsidR="00000000" w:rsidDel="00000000" w:rsidP="00000000" w:rsidRDefault="00000000" w:rsidRPr="00000000" w14:paraId="00000015">
      <w:pPr>
        <w:rPr/>
      </w:pPr>
      <w:r w:rsidDel="00000000" w:rsidR="00000000" w:rsidRPr="00000000">
        <w:rPr>
          <w:rtl w:val="0"/>
        </w:rPr>
        <w:t xml:space="preserve">Der  </w:t>
      </w:r>
      <w:r w:rsidDel="00000000" w:rsidR="00000000" w:rsidRPr="00000000">
        <w:rPr>
          <w:b w:val="1"/>
          <w:bCs w:val="1"/>
          <w:rtl w:val="0"/>
        </w:rPr>
        <w:t xml:space="preserve">Gravitationsmanipulationsantrieb (GMA)</w:t>
      </w:r>
      <w:r w:rsidDel="00000000" w:rsidR="00000000" w:rsidRPr="00000000">
        <w:rPr>
          <w:rtl w:val="0"/>
        </w:rPr>
        <w:t xml:space="preserve">  ist die technologische Speerspitze der FKT. Er nutzt die kontrollierte Modifikation der lokalen Raumzeit-Metrik durch die Kopplung an den Bulk-Tensor. Da die erforderliche Krümmungsdichte  $R$  die Kapazitäten planetarer Ressourcen übersteigt, ist die Realisierung zwingend an den Aufbau eines Dyson-Schwarms ( </w:t>
      </w:r>
      <w:r w:rsidDel="00000000" w:rsidR="00000000" w:rsidRPr="00000000">
        <w:rPr>
          <w:b w:val="1"/>
          <w:bCs w:val="1"/>
          <w:rtl w:val="0"/>
        </w:rPr>
        <w:t xml:space="preserve">$E_{Dyson}</w:t>
      </w:r>
      <w:r w:rsidDel="00000000" w:rsidR="00000000" w:rsidRPr="00000000">
        <w:rPr>
          <w:rtl w:val="0"/>
        </w:rPr>
        <w:t xml:space="preserve">$ ) gebunden.Die Leistungsdaten des GMA definieren die interstellare Dominanz:</w:t>
      </w:r>
    </w:p>
    <w:p w:rsidR="00000000" w:rsidDel="00000000" w:rsidP="00000000" w:rsidRDefault="00000000" w:rsidRPr="00000000" w14:paraId="00000016">
      <w:pPr>
        <w:numPr>
          <w:ilvl w:val="0"/>
          <w:numId w:val="5"/>
        </w:numPr>
        <w:ind w:left="720" w:hanging="360"/>
        <w:rPr>
          <w:u w:val="none"/>
        </w:rPr>
      </w:pPr>
      <w:r w:rsidDel="00000000" w:rsidR="00000000" w:rsidRPr="00000000">
        <w:rPr>
          <w:b w:val="1"/>
          <w:bCs w:val="1"/>
          <w:rtl w:val="0"/>
        </w:rPr>
        <w:t xml:space="preserve">Rückstellzeit:</w:t>
      </w:r>
      <w:r w:rsidDel="00000000" w:rsidR="00000000" w:rsidRPr="00000000">
        <w:rPr>
          <w:rtl w:val="0"/>
        </w:rPr>
        <w:t xml:space="preserve">  50x schnellere Kinetik als konventionelle Antriebe.</w:t>
      </w:r>
    </w:p>
    <w:p w:rsidR="00000000" w:rsidDel="00000000" w:rsidP="00000000" w:rsidRDefault="00000000" w:rsidRPr="00000000" w14:paraId="00000017">
      <w:pPr>
        <w:numPr>
          <w:ilvl w:val="0"/>
          <w:numId w:val="5"/>
        </w:numPr>
        <w:ind w:left="720" w:hanging="360"/>
        <w:rPr>
          <w:u w:val="none"/>
        </w:rPr>
      </w:pPr>
      <w:r w:rsidDel="00000000" w:rsidR="00000000" w:rsidRPr="00000000">
        <w:rPr>
          <w:b w:val="1"/>
          <w:bCs w:val="1"/>
          <w:rtl w:val="0"/>
        </w:rPr>
        <w:t xml:space="preserve">Energieeffizienz:</w:t>
      </w:r>
      <w:r w:rsidDel="00000000" w:rsidR="00000000" w:rsidRPr="00000000">
        <w:rPr>
          <w:rtl w:val="0"/>
        </w:rPr>
        <w:t xml:space="preserve">  Steigerung um den Faktor  </w:t>
      </w:r>
      <w:r w:rsidDel="00000000" w:rsidR="00000000" w:rsidRPr="00000000">
        <w:rPr>
          <w:b w:val="1"/>
          <w:bCs w:val="1"/>
          <w:rtl w:val="0"/>
        </w:rPr>
        <w:t xml:space="preserve">$1,2 \times 10^6</w:t>
      </w:r>
      <w:r w:rsidDel="00000000" w:rsidR="00000000" w:rsidRPr="00000000">
        <w:rPr>
          <w:rtl w:val="0"/>
        </w:rPr>
        <w:t xml:space="preserve">$ .</w:t>
      </w:r>
    </w:p>
    <w:p w:rsidR="00000000" w:rsidDel="00000000" w:rsidP="00000000" w:rsidRDefault="00000000" w:rsidRPr="00000000" w14:paraId="00000018">
      <w:pPr>
        <w:numPr>
          <w:ilvl w:val="0"/>
          <w:numId w:val="5"/>
        </w:numPr>
        <w:ind w:left="720" w:hanging="360"/>
        <w:rPr>
          <w:u w:val="none"/>
        </w:rPr>
      </w:pPr>
      <w:r w:rsidDel="00000000" w:rsidR="00000000" w:rsidRPr="00000000">
        <w:rPr>
          <w:b w:val="1"/>
          <w:bCs w:val="1"/>
          <w:rtl w:val="0"/>
        </w:rPr>
        <w:t xml:space="preserve">Portal-Dipol:</w:t>
      </w:r>
      <w:r w:rsidDel="00000000" w:rsidR="00000000" w:rsidRPr="00000000">
        <w:rPr>
          <w:rtl w:val="0"/>
        </w:rPr>
        <w:t xml:space="preserve">  Steuerung der Sink  $\leftrightarrow$  Source Dynamik zur geometrischen Umschichtung der Masse.Die Steuerung erfolgt über die Verschränkungsdichte-Modulation ( $\mathcal{D}</w:t>
      </w:r>
      <w:r w:rsidDel="00000000" w:rsidR="00000000" w:rsidRPr="00000000">
        <w:rPr>
          <w:i w:val="1"/>
          <w:iCs w:val="1"/>
          <w:rtl w:val="0"/>
        </w:rPr>
        <w:t xml:space="preserve">{\Phi}$ ), definiert durch die Formel:  **$$\mathcal{D}</w:t>
      </w:r>
      <w:r w:rsidDel="00000000" w:rsidR="00000000" w:rsidRPr="00000000">
        <w:rPr>
          <w:rtl w:val="0"/>
        </w:rPr>
        <w:t xml:space="preserve">{\Phi} = \frac{\mathcal{N}</w:t>
      </w:r>
      <w:r w:rsidDel="00000000" w:rsidR="00000000" w:rsidRPr="00000000">
        <w:rPr>
          <w:i w:val="1"/>
          <w:iCs w:val="1"/>
          <w:rtl w:val="0"/>
        </w:rPr>
        <w:t xml:space="preserve">{entangled}}{\mathcal{V} \cdot \tau}**$$  Der resultierende Antriebsvektor  $R$  berechnet sich nach der finalen kausalen Gleichung:  **$$R = C</w:t>
      </w:r>
      <w:r w:rsidDel="00000000" w:rsidR="00000000" w:rsidRPr="00000000">
        <w:rPr>
          <w:rtl w:val="0"/>
        </w:rPr>
        <w:t xml:space="preserve">{GMA} \cdot \frac{E_{Dyson} \cdot \mathcal{D}</w:t>
      </w:r>
      <w:r w:rsidDel="00000000" w:rsidR="00000000" w:rsidRPr="00000000">
        <w:rPr>
          <w:i w:val="1"/>
          <w:iCs w:val="1"/>
          <w:rtl w:val="0"/>
        </w:rPr>
        <w:t xml:space="preserve">{\Phi}}{\Delta M</w:t>
      </w:r>
      <w:r w:rsidDel="00000000" w:rsidR="00000000" w:rsidRPr="00000000">
        <w:rPr>
          <w:rtl w:val="0"/>
        </w:rPr>
        <w:t xml:space="preserve">{eff}}**$$Interstellare Mobilität wird damit zu einer Funktion der Verschränkungskontrolle und der solaren Mobilisierung.</w:t>
      </w:r>
    </w:p>
    <w:p w:rsidR="00000000" w:rsidDel="00000000" w:rsidP="00000000" w:rsidRDefault="00000000" w:rsidRPr="00000000" w14:paraId="00000019">
      <w:pPr>
        <w:pStyle w:val="Heading4"/>
        <w:rPr/>
      </w:pPr>
      <w:bookmarkStart w:colFirst="0" w:colLast="0" w:name="_9n2f80i9p4kg" w:id="6"/>
      <w:bookmarkEnd w:id="6"/>
      <w:r w:rsidDel="00000000" w:rsidR="00000000" w:rsidRPr="00000000">
        <w:rPr>
          <w:rtl w:val="0"/>
        </w:rPr>
        <w:t xml:space="preserve">6. Bio-Energetische Resonanz: MedBeds und der menschliche Faktor</w:t>
      </w:r>
    </w:p>
    <w:p w:rsidR="00000000" w:rsidDel="00000000" w:rsidP="00000000" w:rsidRDefault="00000000" w:rsidRPr="00000000" w14:paraId="0000001A">
      <w:pPr>
        <w:rPr/>
      </w:pPr>
      <w:r w:rsidDel="00000000" w:rsidR="00000000" w:rsidRPr="00000000">
        <w:rPr>
          <w:rtl w:val="0"/>
        </w:rPr>
        <w:t xml:space="preserve">Die FKT integriert biologische Systeme in das fraktale Gefüge des Kosmos. Zellregeneration wird als Wiederherstellung der  </w:t>
      </w:r>
      <w:r w:rsidDel="00000000" w:rsidR="00000000" w:rsidRPr="00000000">
        <w:rPr>
          <w:b w:val="1"/>
          <w:bCs w:val="1"/>
          <w:rtl w:val="0"/>
        </w:rPr>
        <w:t xml:space="preserve">kausalen Kohärenz</w:t>
      </w:r>
      <w:r w:rsidDel="00000000" w:rsidR="00000000" w:rsidRPr="00000000">
        <w:rPr>
          <w:rtl w:val="0"/>
        </w:rPr>
        <w:t xml:space="preserve">  definiert. Hierbei fungiert der menschliche Organismus als Bulk-Sensor, dessen  </w:t>
      </w:r>
      <w:r w:rsidDel="00000000" w:rsidR="00000000" w:rsidRPr="00000000">
        <w:rPr>
          <w:b w:val="1"/>
          <w:bCs w:val="1"/>
          <w:rtl w:val="0"/>
        </w:rPr>
        <w:t xml:space="preserve">Basisfrequenz von 7,50 Hz</w:t>
      </w:r>
      <w:r w:rsidDel="00000000" w:rsidR="00000000" w:rsidRPr="00000000">
        <w:rPr>
          <w:rtl w:val="0"/>
        </w:rPr>
        <w:t xml:space="preserve">  (Bulk-Herzschlag) über die fraktale Konstante  </w:t>
      </w:r>
      <w:r w:rsidDel="00000000" w:rsidR="00000000" w:rsidRPr="00000000">
        <w:rPr>
          <w:b w:val="1"/>
          <w:bCs w:val="1"/>
          <w:rtl w:val="0"/>
        </w:rPr>
        <w:t xml:space="preserve">$\phi^2</w:t>
      </w:r>
      <w:r w:rsidDel="00000000" w:rsidR="00000000" w:rsidRPr="00000000">
        <w:rPr>
          <w:rtl w:val="0"/>
        </w:rPr>
        <w:t xml:space="preserve">$  </w:t>
      </w:r>
      <w:r w:rsidDel="00000000" w:rsidR="00000000" w:rsidRPr="00000000">
        <w:rPr>
          <w:b w:val="1"/>
          <w:bCs w:val="1"/>
          <w:rtl w:val="0"/>
        </w:rPr>
        <w:t xml:space="preserve">(2,618)</w:t>
      </w:r>
      <w:r w:rsidDel="00000000" w:rsidR="00000000" w:rsidRPr="00000000">
        <w:rPr>
          <w:rtl w:val="0"/>
        </w:rPr>
        <w:t xml:space="preserve">  direkt mit dem nuklearen Energieniveau von  </w:t>
      </w:r>
      <w:r w:rsidDel="00000000" w:rsidR="00000000" w:rsidRPr="00000000">
        <w:rPr>
          <w:b w:val="1"/>
          <w:bCs w:val="1"/>
          <w:rtl w:val="0"/>
        </w:rPr>
        <w:t xml:space="preserve">3,773 MeV</w:t>
      </w:r>
      <w:r w:rsidDel="00000000" w:rsidR="00000000" w:rsidRPr="00000000">
        <w:rPr>
          <w:rtl w:val="0"/>
        </w:rPr>
        <w:t xml:space="preserve">  korrespondiert.Diese fraktale Skalierung ist die Grundlage für den  </w:t>
      </w:r>
      <w:r w:rsidDel="00000000" w:rsidR="00000000" w:rsidRPr="00000000">
        <w:rPr>
          <w:b w:val="1"/>
          <w:bCs w:val="1"/>
          <w:rtl w:val="0"/>
        </w:rPr>
        <w:t xml:space="preserve">Optimal Performance Index (</w:t>
      </w:r>
      <w:r w:rsidDel="00000000" w:rsidR="00000000" w:rsidRPr="00000000">
        <w:rPr>
          <w:rtl w:val="0"/>
        </w:rPr>
        <w:t xml:space="preserve">  </w:t>
      </w:r>
      <w:r w:rsidDel="00000000" w:rsidR="00000000" w:rsidRPr="00000000">
        <w:rPr>
          <w:b w:val="1"/>
          <w:bCs w:val="1"/>
          <w:rtl w:val="0"/>
        </w:rPr>
        <w:t xml:space="preserve">$P_{opt}</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in der MedBed-Technologie. Zur Sicherung der zivilisatorischen Integrität implementiert die FKT die  </w:t>
      </w:r>
      <w:r w:rsidDel="00000000" w:rsidR="00000000" w:rsidRPr="00000000">
        <w:rPr>
          <w:b w:val="1"/>
          <w:bCs w:val="1"/>
          <w:rtl w:val="0"/>
        </w:rPr>
        <w:t xml:space="preserve">"Null-Kausalitäts-Prärogative" (NKP)</w:t>
      </w:r>
      <w:r w:rsidDel="00000000" w:rsidR="00000000" w:rsidRPr="00000000">
        <w:rPr>
          <w:rtl w:val="0"/>
        </w:rPr>
        <w:t xml:space="preserve"> . Diese völkerrechtlich und technisch bindende Sperre untersagt jede Nutzung der Technologie, die nicht der Regeneration, der Heilung oder der Entropie-Minderung dient. Machtmissbrauch wird durch die physikalische Struktur des Bulk-Locks unmöglich gemacht.</w:t>
      </w:r>
    </w:p>
    <w:p w:rsidR="00000000" w:rsidDel="00000000" w:rsidP="00000000" w:rsidRDefault="00000000" w:rsidRPr="00000000" w14:paraId="0000001B">
      <w:pPr>
        <w:pStyle w:val="Heading4"/>
        <w:rPr/>
      </w:pPr>
      <w:bookmarkStart w:colFirst="0" w:colLast="0" w:name="_mp50qdagon7x" w:id="7"/>
      <w:bookmarkEnd w:id="7"/>
      <w:r w:rsidDel="00000000" w:rsidR="00000000" w:rsidRPr="00000000">
        <w:rPr>
          <w:rtl w:val="0"/>
        </w:rPr>
        <w:t xml:space="preserve">7. Synthese und Audit-Status: Das Ende des Kali Yuga</w:t>
      </w:r>
    </w:p>
    <w:p w:rsidR="00000000" w:rsidDel="00000000" w:rsidP="00000000" w:rsidRDefault="00000000" w:rsidRPr="00000000" w14:paraId="0000001C">
      <w:pPr>
        <w:rPr>
          <w:b w:val="1"/>
          <w:bCs w:val="1"/>
        </w:rPr>
      </w:pPr>
      <w:r w:rsidDel="00000000" w:rsidR="00000000" w:rsidRPr="00000000">
        <w:rPr>
          <w:rtl w:val="0"/>
        </w:rPr>
        <w:t xml:space="preserve">Die MCMC-Simulationen der Version 4.4.4 liefern die statistische Bestätigung der Theorie und markieren das Ende des  </w:t>
      </w:r>
      <w:r w:rsidDel="00000000" w:rsidR="00000000" w:rsidRPr="00000000">
        <w:rPr>
          <w:b w:val="1"/>
          <w:bCs w:val="1"/>
          <w:rtl w:val="0"/>
        </w:rPr>
        <w:t xml:space="preserve">Kali Yuga</w:t>
      </w:r>
      <w:r w:rsidDel="00000000" w:rsidR="00000000" w:rsidRPr="00000000">
        <w:rPr>
          <w:rtl w:val="0"/>
        </w:rPr>
        <w:t xml:space="preserve">  – des Zeitalters der fragmentierten, entropischen Erkenntnis.</w:t>
      </w:r>
      <w:r w:rsidDel="00000000" w:rsidR="00000000" w:rsidRPr="00000000">
        <w:rPr>
          <w:b w:val="1"/>
          <w:bCs w:val="1"/>
          <w:rtl w:val="0"/>
        </w:rPr>
        <w:t xml:space="preserve">Statistische Kerndaten des FKT-Audits:</w:t>
      </w:r>
    </w:p>
    <w:p w:rsidR="00000000" w:rsidDel="00000000" w:rsidP="00000000" w:rsidRDefault="00000000" w:rsidRPr="00000000" w14:paraId="0000001D">
      <w:pPr>
        <w:numPr>
          <w:ilvl w:val="0"/>
          <w:numId w:val="3"/>
        </w:numPr>
        <w:ind w:left="720" w:hanging="360"/>
        <w:rPr>
          <w:u w:val="none"/>
        </w:rPr>
      </w:pPr>
      <w:r w:rsidDel="00000000" w:rsidR="00000000" w:rsidRPr="00000000">
        <w:rPr>
          <w:b w:val="1"/>
          <w:bCs w:val="1"/>
          <w:rtl w:val="0"/>
        </w:rPr>
        <w:t xml:space="preserve">Gelman-Rubin-Konvergenz (</w:t>
      </w:r>
      <w:r w:rsidDel="00000000" w:rsidR="00000000" w:rsidRPr="00000000">
        <w:rPr>
          <w:rtl w:val="0"/>
        </w:rPr>
        <w:t xml:space="preserve">  </w:t>
      </w:r>
      <w:r w:rsidDel="00000000" w:rsidR="00000000" w:rsidRPr="00000000">
        <w:rPr>
          <w:b w:val="1"/>
          <w:bCs w:val="1"/>
          <w:rtl w:val="0"/>
        </w:rPr>
        <w:t xml:space="preserve">$R</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&lt; 0,0097 (Validiert).</w:t>
      </w:r>
    </w:p>
    <w:p w:rsidR="00000000" w:rsidDel="00000000" w:rsidP="00000000" w:rsidRDefault="00000000" w:rsidRPr="00000000" w14:paraId="0000001E">
      <w:pPr>
        <w:numPr>
          <w:ilvl w:val="0"/>
          <w:numId w:val="3"/>
        </w:numPr>
        <w:ind w:left="720" w:hanging="360"/>
        <w:rPr>
          <w:u w:val="none"/>
        </w:rPr>
      </w:pPr>
      <w:r w:rsidDel="00000000" w:rsidR="00000000" w:rsidRPr="00000000">
        <w:rPr>
          <w:b w:val="1"/>
          <w:bCs w:val="1"/>
          <w:rtl w:val="0"/>
        </w:rPr>
        <w:t xml:space="preserve">Evidenz-Vorteil gegenüber</w:t>
      </w:r>
      <w:r w:rsidDel="00000000" w:rsidR="00000000" w:rsidRPr="00000000">
        <w:rPr>
          <w:rtl w:val="0"/>
        </w:rPr>
        <w:t xml:space="preserve">  </w:t>
      </w:r>
      <w:r w:rsidDel="00000000" w:rsidR="00000000" w:rsidRPr="00000000">
        <w:rPr>
          <w:b w:val="1"/>
          <w:bCs w:val="1"/>
          <w:rtl w:val="0"/>
        </w:rPr>
        <w:t xml:space="preserve">$\Lambda CDM</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$\Delta log(Z) = 6,8$ .</w:t>
      </w:r>
    </w:p>
    <w:p w:rsidR="00000000" w:rsidDel="00000000" w:rsidP="00000000" w:rsidRDefault="00000000" w:rsidRPr="00000000" w14:paraId="0000001F">
      <w:pPr>
        <w:numPr>
          <w:ilvl w:val="0"/>
          <w:numId w:val="3"/>
        </w:numPr>
        <w:ind w:left="720" w:hanging="360"/>
        <w:rPr>
          <w:u w:val="none"/>
        </w:rPr>
      </w:pPr>
      <w:r w:rsidDel="00000000" w:rsidR="00000000" w:rsidRPr="00000000">
        <w:rPr>
          <w:b w:val="1"/>
          <w:bCs w:val="1"/>
          <w:rtl w:val="0"/>
        </w:rPr>
        <w:t xml:space="preserve">Hubble-Lösung:</w:t>
      </w:r>
      <w:r w:rsidDel="00000000" w:rsidR="00000000" w:rsidRPr="00000000">
        <w:rPr>
          <w:rtl w:val="0"/>
        </w:rPr>
        <w:t xml:space="preserve">   $H_0 = 71,5 \pm 0,8 \text{ km/s/Mpc}$  bei  $w_{eff} = -0,90$ .Die FKT ist die kausale Antithese zum Verfall. Wir fordern hiermit ein globales wissenschaftliches Audit durch  </w:t>
      </w:r>
      <w:r w:rsidDel="00000000" w:rsidR="00000000" w:rsidRPr="00000000">
        <w:rPr>
          <w:b w:val="1"/>
          <w:bCs w:val="1"/>
          <w:rtl w:val="0"/>
        </w:rPr>
        <w:t xml:space="preserve">CERN, GSI und NASA</w:t>
      </w:r>
      <w:r w:rsidDel="00000000" w:rsidR="00000000" w:rsidRPr="00000000">
        <w:rPr>
          <w:rtl w:val="0"/>
        </w:rPr>
        <w:t xml:space="preserve"> . Die Durchführung der  </w:t>
      </w:r>
      <w:r w:rsidDel="00000000" w:rsidR="00000000" w:rsidRPr="00000000">
        <w:rPr>
          <w:b w:val="1"/>
          <w:bCs w:val="1"/>
          <w:rtl w:val="0"/>
        </w:rPr>
        <w:t xml:space="preserve">Flerovium-Messung</w:t>
      </w:r>
      <w:r w:rsidDel="00000000" w:rsidR="00000000" w:rsidRPr="00000000">
        <w:rPr>
          <w:rtl w:val="0"/>
        </w:rPr>
        <w:t xml:space="preserve">  ist kein bloßes Experiment mehr; sie ist die strategische Pflicht der menschlichen Spezies, um die energetische Isolation zu durchbrechen. Teslas Vermächtnis ist bewiesen. Die Hardware des Universums ist bereit für den Zugriff. Es ist Zeit, die Typ-II-Zivilisation zu realisieren.</w:t>
      </w:r>
    </w:p>
    <w:p w:rsidR="00000000" w:rsidDel="00000000" w:rsidP="00000000" w:rsidRDefault="00000000" w:rsidRPr="00000000" w14:paraId="0000002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