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wyywisa479x1" w:id="0"/>
      <w:bookmarkEnd w:id="0"/>
      <w:r w:rsidDel="00000000" w:rsidR="00000000" w:rsidRPr="00000000">
        <w:rPr>
          <w:rtl w:val="0"/>
        </w:rPr>
        <w:t xml:space="preserve">Strategischer Forschungsplan: Experimentelle Validierung und technologische Skalierung der Fraktalen Kausalen Theorie (FKT)</w:t>
      </w:r>
    </w:p>
    <w:p w:rsidR="00000000" w:rsidDel="00000000" w:rsidP="00000000" w:rsidRDefault="00000000" w:rsidRPr="00000000" w14:paraId="00000002">
      <w:pPr>
        <w:pStyle w:val="Heading5"/>
        <w:rPr/>
      </w:pPr>
      <w:bookmarkStart w:colFirst="0" w:colLast="0" w:name="_bzlovpjbf69z" w:id="1"/>
      <w:bookmarkEnd w:id="1"/>
      <w:r w:rsidDel="00000000" w:rsidR="00000000" w:rsidRPr="00000000">
        <w:rPr>
          <w:rtl w:val="0"/>
        </w:rPr>
        <w:t xml:space="preserve">1. Theoretisches Fundament und die Krise der Standardphysik</w:t>
      </w:r>
    </w:p>
    <w:p w:rsidR="00000000" w:rsidDel="00000000" w:rsidP="00000000" w:rsidRDefault="00000000" w:rsidRPr="00000000" w14:paraId="00000003">
      <w:pPr>
        <w:rPr/>
      </w:pPr>
      <w:r w:rsidDel="00000000" w:rsidR="00000000" w:rsidRPr="00000000">
        <w:rPr>
          <w:rtl w:val="0"/>
        </w:rPr>
        <w:t xml:space="preserve">Die zeitgenössische Kosmologie befindet sich in einer Phase der paradigmatischen Instabilität. Die persistente Hubble-Spannung – quantifiziert durch eine Diskrepanz zwischen dem frühen und späten Universum bei einem Best-Fit-Wert von  $H_0 = 71,5 \pm 0,8 \text{ km/s/Mpc}$  – sowie das ungelöste Rätsel der Dunklen Materie sind keine statistischen Artefakte, sondern systemische Indikatoren einer unvollständigen Feldphysik. Die Fraktale Kausale Theorie (FKT) adressiert diese Krise durch die  </w:t>
      </w:r>
      <w:r w:rsidDel="00000000" w:rsidR="00000000" w:rsidRPr="00000000">
        <w:rPr>
          <w:b w:val="1"/>
          <w:bCs w:val="1"/>
          <w:rtl w:val="0"/>
        </w:rPr>
        <w:t xml:space="preserve">Erweiterte Einstein-Kurzer-Gleichung (EYRQ)</w:t>
      </w:r>
      <w:r w:rsidDel="00000000" w:rsidR="00000000" w:rsidRPr="00000000">
        <w:rPr>
          <w:rtl w:val="0"/>
        </w:rPr>
        <w:t xml:space="preserve"> :$$G_{\mu\nu} + \mathcal{F}</w:t>
      </w:r>
      <w:r w:rsidDel="00000000" w:rsidR="00000000" w:rsidRPr="00000000">
        <w:rPr>
          <w:i w:val="1"/>
          <w:iCs w:val="1"/>
          <w:rtl w:val="0"/>
        </w:rPr>
        <w:t xml:space="preserve">{\mu\nu} = 8\pi G T</w:t>
      </w:r>
      <w:r w:rsidDel="00000000" w:rsidR="00000000" w:rsidRPr="00000000">
        <w:rPr>
          <w:rtl w:val="0"/>
        </w:rPr>
        <w:t xml:space="preserve">{\mu\nu}$$In diesem Framework fungiert der Bulk-Tensor  $\oplus_{\mu\nu}$  (innerhalb des Terms  $\mathcal{F}</w:t>
      </w:r>
      <w:r w:rsidDel="00000000" w:rsidR="00000000" w:rsidRPr="00000000">
        <w:rPr>
          <w:i w:val="1"/>
          <w:iCs w:val="1"/>
          <w:rtl w:val="0"/>
        </w:rPr>
        <w:t xml:space="preserve">{\mu\nu}$ ) als der entscheidende „causal gap closer“. Er beschreibt den geometrischen Druck, der aus dem höherdimensionalen Bulk-Raum (dem Mutter-Universum) auf unsere 3D-Bran wirkt. Dunkle Materie wird hierbei als gravitativen Echo dieses Bulk-Drucks dekonstruiert.Ein imperatives Element der FKT ist die  </w:t>
      </w:r>
      <w:r w:rsidDel="00000000" w:rsidR="00000000" w:rsidRPr="00000000">
        <w:rPr>
          <w:b w:val="1"/>
          <w:bCs w:val="1"/>
          <w:i w:val="1"/>
          <w:iCs w:val="1"/>
          <w:rtl w:val="0"/>
        </w:rPr>
        <w:t xml:space="preserve">„Kausale Auditkette“</w:t>
      </w:r>
      <w:r w:rsidDel="00000000" w:rsidR="00000000" w:rsidRPr="00000000">
        <w:rPr>
          <w:i w:val="1"/>
          <w:iCs w:val="1"/>
          <w:rtl w:val="0"/>
        </w:rPr>
        <w:t xml:space="preserve"> . Sie postuliert, dass kausale Divergenzen auf kosmologischer Ebene zwingend eine präzise mathematische Korrektur auf subatomarer Ebene erfordern. Die Hubble-Spannung ist somit kein Beobachtungsfehler, sondern die direkte mathematische Prärogative für die energetische Verschiebung in superschweren Kernen. Diese Brücke schließt die Lücke zwischen der makroskopischen Expansion und der mikroskopischen Integrität, wobei Neutrinos als Leckage-Strahlung ( $L</w:t>
      </w:r>
      <w:r w:rsidDel="00000000" w:rsidR="00000000" w:rsidRPr="00000000">
        <w:rPr>
          <w:rtl w:val="0"/>
        </w:rPr>
        <w:t xml:space="preserve">\nu$ ) aus dem übergeordneten Großmutter-Universum (Bulk+) den energetischen Austausch vervollständigen. Diese theoretische Notwendigkeit mündet in der strategischen Zielsetzung: dem experimentellen Nachweis am Flerovium-Anker.</w:t>
      </w:r>
    </w:p>
    <w:p w:rsidR="00000000" w:rsidDel="00000000" w:rsidP="00000000" w:rsidRDefault="00000000" w:rsidRPr="00000000" w14:paraId="00000004">
      <w:pPr>
        <w:pStyle w:val="Heading5"/>
        <w:rPr/>
      </w:pPr>
      <w:bookmarkStart w:colFirst="0" w:colLast="0" w:name="_u2y6bjpyei4" w:id="2"/>
      <w:bookmarkEnd w:id="2"/>
      <w:r w:rsidDel="00000000" w:rsidR="00000000" w:rsidRPr="00000000">
        <w:rPr>
          <w:rtl w:val="0"/>
        </w:rPr>
        <w:t xml:space="preserve">2. Der Flerovium-Anker: Validierung der Kernverschieblichkeit</w:t>
      </w:r>
    </w:p>
    <w:p w:rsidR="00000000" w:rsidDel="00000000" w:rsidP="00000000" w:rsidRDefault="00000000" w:rsidRPr="00000000" w14:paraId="00000005">
      <w:pPr>
        <w:rPr/>
      </w:pPr>
      <w:r w:rsidDel="00000000" w:rsidR="00000000" w:rsidRPr="00000000">
        <w:rPr>
          <w:rtl w:val="0"/>
        </w:rPr>
        <w:t xml:space="preserve">Die strategische Wahl von  </w:t>
      </w:r>
      <w:r w:rsidDel="00000000" w:rsidR="00000000" w:rsidRPr="00000000">
        <w:rPr>
          <w:b w:val="1"/>
          <w:bCs w:val="1"/>
          <w:rtl w:val="0"/>
        </w:rPr>
        <w:t xml:space="preserve">Flerovium (Z=114)</w:t>
      </w:r>
      <w:r w:rsidDel="00000000" w:rsidR="00000000" w:rsidRPr="00000000">
        <w:rPr>
          <w:rtl w:val="0"/>
        </w:rPr>
        <w:t xml:space="preserve">  als experimentellem Fokus beruht auf seiner Funktion als „Bulk-Resonator“. Aufgrund der Nähe zur „Insel der Stabilität“ reagiert die Kernstruktur von  $^{298}\text{Fl}$  hochsensibel auf die transversale Komponente  $\oplus_{\perp \mu\nu}$  des Bulk-Tensors. Diese induziert eine asymmetrische Eigenwertverschiebung innerhalb des erweiterten Kern-Hamilton-Operators ( $H_{FKT}$ ), was zu einer spezifischen Gammalinie führt.Die folgende Tabelle zeigt die durch K-FEM (Kurzer-Finite-Elemente-Methode) ermittelten Werte für den Übergang  $2+ \to 0+$ :| Parameter | Energie (MeV) | Standardabweichung ( $\sigma_E$ ) || ------ | ------ | ------ || Energie des angeregten Zustands ( $E_{2+}$ ) | 4,105 MeV | $\pm 0,018$  MeV || Energie des Grundzustands ( $E_{0+}$ ) | 0,332 MeV | $\pm 0,014$  MeV || </w:t>
      </w:r>
      <w:r w:rsidDel="00000000" w:rsidR="00000000" w:rsidRPr="00000000">
        <w:rPr>
          <w:b w:val="1"/>
          <w:bCs w:val="1"/>
          <w:rtl w:val="0"/>
        </w:rPr>
        <w:t xml:space="preserve">Prognostizierte Übergangsenergie (</w:t>
      </w:r>
      <w:r w:rsidDel="00000000" w:rsidR="00000000" w:rsidRPr="00000000">
        <w:rPr>
          <w:rtl w:val="0"/>
        </w:rPr>
        <w:t xml:space="preserve">  </w:t>
      </w:r>
      <w:r w:rsidDel="00000000" w:rsidR="00000000" w:rsidRPr="00000000">
        <w:rPr>
          <w:b w:val="1"/>
          <w:bCs w:val="1"/>
          <w:rtl w:val="0"/>
        </w:rPr>
        <w:t xml:space="preserve">$E_\gamma</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w:t>
      </w:r>
      <w:r w:rsidDel="00000000" w:rsidR="00000000" w:rsidRPr="00000000">
        <w:rPr>
          <w:b w:val="1"/>
          <w:bCs w:val="1"/>
          <w:rtl w:val="0"/>
        </w:rPr>
        <w:t xml:space="preserve">3,773 MeV</w:t>
      </w:r>
      <w:r w:rsidDel="00000000" w:rsidR="00000000" w:rsidRPr="00000000">
        <w:rPr>
          <w:rtl w:val="0"/>
        </w:rPr>
        <w:t xml:space="preserve"> | </w:t>
      </w:r>
      <w:r w:rsidDel="00000000" w:rsidR="00000000" w:rsidRPr="00000000">
        <w:rPr>
          <w:b w:val="1"/>
          <w:bCs w:val="1"/>
          <w:rtl w:val="0"/>
        </w:rPr>
        <w:t xml:space="preserve">$\sigma_{boot} \approx 0,014</w:t>
      </w:r>
      <w:r w:rsidDel="00000000" w:rsidR="00000000" w:rsidRPr="00000000">
        <w:rPr>
          <w:rtl w:val="0"/>
        </w:rPr>
        <w:t xml:space="preserve">$  </w:t>
      </w:r>
      <w:r w:rsidDel="00000000" w:rsidR="00000000" w:rsidRPr="00000000">
        <w:rPr>
          <w:b w:val="1"/>
          <w:bCs w:val="1"/>
          <w:rtl w:val="0"/>
        </w:rPr>
        <w:t xml:space="preserve">MeV</w:t>
      </w:r>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Die statistische Signifikanz dieser Vorhersage wurde durch eine Bootstrap-Analyse mit 10.000 Realisierungen validiert. Das resultierende  </w:t>
      </w:r>
      <w:r w:rsidDel="00000000" w:rsidR="00000000" w:rsidRPr="00000000">
        <w:rPr>
          <w:b w:val="1"/>
          <w:bCs w:val="1"/>
          <w:rtl w:val="0"/>
        </w:rPr>
        <w:t xml:space="preserve">95%-Konfidenzintervall 3,745 MeV, 3,802 MeV</w:t>
      </w:r>
      <w:r w:rsidDel="00000000" w:rsidR="00000000" w:rsidRPr="00000000">
        <w:rPr>
          <w:rtl w:val="0"/>
        </w:rPr>
        <w:t xml:space="preserve">  bildet die operative Zielmarke der Messung. Die Validierung der  </w:t>
      </w:r>
      <w:r w:rsidDel="00000000" w:rsidR="00000000" w:rsidRPr="00000000">
        <w:rPr>
          <w:b w:val="1"/>
          <w:bCs w:val="1"/>
          <w:rtl w:val="0"/>
        </w:rPr>
        <w:t xml:space="preserve">„Kernverschieblichkeit“</w:t>
      </w:r>
      <w:r w:rsidDel="00000000" w:rsidR="00000000" w:rsidRPr="00000000">
        <w:rPr>
          <w:rtl w:val="0"/>
        </w:rPr>
        <w:t xml:space="preserve">  – also der Fluktuation der Halbwertszeit in Abhängigkeit von lokalen Gravitationsgradienten – liefert den endgültigen Beweis für die Kopplung der Raumzeitgeometrie an die transversalen Bulk-Komponenten. Die praktische Umsetzung dieser Verifikation erfolgt in einem strukturierten 4-Phasen-Roadmap.</w:t>
      </w:r>
    </w:p>
    <w:p w:rsidR="00000000" w:rsidDel="00000000" w:rsidP="00000000" w:rsidRDefault="00000000" w:rsidRPr="00000000" w14:paraId="00000007">
      <w:pPr>
        <w:pStyle w:val="Heading5"/>
        <w:rPr/>
      </w:pPr>
      <w:bookmarkStart w:colFirst="0" w:colLast="0" w:name="_hkb5lzeksjrb" w:id="3"/>
      <w:bookmarkEnd w:id="3"/>
      <w:r w:rsidDel="00000000" w:rsidR="00000000" w:rsidRPr="00000000">
        <w:rPr>
          <w:rtl w:val="0"/>
        </w:rPr>
        <w:t xml:space="preserve">3. Der 4-Phasen-Roadmap zur experimentellen Verifikation</w:t>
      </w:r>
    </w:p>
    <w:p w:rsidR="00000000" w:rsidDel="00000000" w:rsidP="00000000" w:rsidRDefault="00000000" w:rsidRPr="00000000" w14:paraId="00000008">
      <w:pPr>
        <w:rPr/>
      </w:pPr>
      <w:r w:rsidDel="00000000" w:rsidR="00000000" w:rsidRPr="00000000">
        <w:rPr>
          <w:rtl w:val="0"/>
        </w:rPr>
        <w:t xml:space="preserve">Zur Risikominimierung und zur Optimierung der Ressourcenallokation an Großforschungseinrichtungen ist ein phasenweises Vorgehen unumgänglich:</w:t>
      </w:r>
    </w:p>
    <w:p w:rsidR="00000000" w:rsidDel="00000000" w:rsidP="00000000" w:rsidRDefault="00000000" w:rsidRPr="00000000" w14:paraId="00000009">
      <w:pPr>
        <w:numPr>
          <w:ilvl w:val="0"/>
          <w:numId w:val="3"/>
        </w:numPr>
        <w:ind w:left="720" w:hanging="360"/>
        <w:rPr>
          <w:u w:val="none"/>
        </w:rPr>
      </w:pPr>
      <w:r w:rsidDel="00000000" w:rsidR="00000000" w:rsidRPr="00000000">
        <w:rPr>
          <w:b w:val="1"/>
          <w:bCs w:val="1"/>
          <w:rtl w:val="0"/>
        </w:rPr>
        <w:t xml:space="preserve">Phase 1: Modellverfeinerung:</w:t>
      </w:r>
      <w:r w:rsidDel="00000000" w:rsidR="00000000" w:rsidRPr="00000000">
        <w:rPr>
          <w:rtl w:val="0"/>
        </w:rPr>
        <w:t xml:space="preserve">  Durchführung von High-Performance Computing (HPC) Simulationen zur präzisen Signalmodellierung unter Einbeziehung der transversalen Kopplungsfaktoren.</w:t>
      </w:r>
    </w:p>
    <w:p w:rsidR="00000000" w:rsidDel="00000000" w:rsidP="00000000" w:rsidRDefault="00000000" w:rsidRPr="00000000" w14:paraId="0000000A">
      <w:pPr>
        <w:numPr>
          <w:ilvl w:val="0"/>
          <w:numId w:val="3"/>
        </w:numPr>
        <w:ind w:left="720" w:hanging="360"/>
        <w:rPr>
          <w:u w:val="none"/>
        </w:rPr>
      </w:pPr>
      <w:r w:rsidDel="00000000" w:rsidR="00000000" w:rsidRPr="00000000">
        <w:rPr>
          <w:b w:val="1"/>
          <w:bCs w:val="1"/>
          <w:rtl w:val="0"/>
        </w:rPr>
        <w:t xml:space="preserve">Phase 2: Experimentelles Design:</w:t>
      </w:r>
      <w:r w:rsidDel="00000000" w:rsidR="00000000" w:rsidRPr="00000000">
        <w:rPr>
          <w:rtl w:val="0"/>
        </w:rPr>
        <w:t xml:space="preserve">  Formale Kooperation mit GSI/CERN. Spezifikation hochauflösender Germanium-Detektoren und Optimierung der Target-Geometrie für die Transaktiniden-Produktion.</w:t>
      </w:r>
    </w:p>
    <w:p w:rsidR="00000000" w:rsidDel="00000000" w:rsidP="00000000" w:rsidRDefault="00000000" w:rsidRPr="00000000" w14:paraId="0000000B">
      <w:pPr>
        <w:numPr>
          <w:ilvl w:val="0"/>
          <w:numId w:val="3"/>
        </w:numPr>
        <w:ind w:left="720" w:hanging="360"/>
        <w:rPr>
          <w:u w:val="none"/>
        </w:rPr>
      </w:pPr>
      <w:r w:rsidDel="00000000" w:rsidR="00000000" w:rsidRPr="00000000">
        <w:rPr>
          <w:b w:val="1"/>
          <w:bCs w:val="1"/>
          <w:rtl w:val="0"/>
        </w:rPr>
        <w:t xml:space="preserve">Phase 3: Durchführung:</w:t>
      </w:r>
      <w:r w:rsidDel="00000000" w:rsidR="00000000" w:rsidRPr="00000000">
        <w:rPr>
          <w:rtl w:val="0"/>
        </w:rPr>
        <w:t xml:space="preserve">  Produktion der Flerovium-Isotope mittels Schwerionenbeschleunigung. Durchführung der Gammaspektroskopie in strikter  </w:t>
      </w:r>
      <w:r w:rsidDel="00000000" w:rsidR="00000000" w:rsidRPr="00000000">
        <w:rPr>
          <w:b w:val="1"/>
          <w:bCs w:val="1"/>
          <w:rtl w:val="0"/>
        </w:rPr>
        <w:t xml:space="preserve">Koinzidenzmessung</w:t>
      </w:r>
      <w:r w:rsidDel="00000000" w:rsidR="00000000" w:rsidRPr="00000000">
        <w:rPr>
          <w:rtl w:val="0"/>
        </w:rPr>
        <w:t xml:space="preserve">  mit charakteristischen Alpha-Zerfällen oder Spontanspaltungsereignissen, um das 3,773-MeV-Signal vom Hintergrundrauschen zu isolieren.</w:t>
      </w:r>
    </w:p>
    <w:p w:rsidR="00000000" w:rsidDel="00000000" w:rsidP="00000000" w:rsidRDefault="00000000" w:rsidRPr="00000000" w14:paraId="0000000C">
      <w:pPr>
        <w:numPr>
          <w:ilvl w:val="0"/>
          <w:numId w:val="3"/>
        </w:numPr>
        <w:ind w:left="720" w:hanging="360"/>
        <w:rPr>
          <w:u w:val="none"/>
        </w:rPr>
      </w:pPr>
      <w:r w:rsidDel="00000000" w:rsidR="00000000" w:rsidRPr="00000000">
        <w:rPr>
          <w:b w:val="1"/>
          <w:bCs w:val="1"/>
          <w:rtl w:val="0"/>
        </w:rPr>
        <w:t xml:space="preserve">Phase 4: Analyse &amp; Publikation:</w:t>
      </w:r>
      <w:r w:rsidDel="00000000" w:rsidR="00000000" w:rsidRPr="00000000">
        <w:rPr>
          <w:rtl w:val="0"/>
        </w:rPr>
        <w:t xml:space="preserve">  Systematische Spektralvalidierung und Peer-Review-Veröffentlichung der Ergebnisse.Dieses Projekt folgt einem strikten Falsifizierbarkeits-Kriterium: Ein Nullresultat innerhalb des vorhergesagten Intervalls 3,745, 3,802 MeV definiert die strategische Exit-Bedingung und würde die FKT in ihrer aktuellen Form widerlegen. Eine Bestätigung hingegen transformiert die Physik von der Beobachtung zur aktiven Ingenieurwissenschaft.</w:t>
      </w:r>
    </w:p>
    <w:p w:rsidR="00000000" w:rsidDel="00000000" w:rsidP="00000000" w:rsidRDefault="00000000" w:rsidRPr="00000000" w14:paraId="0000000D">
      <w:pPr>
        <w:pStyle w:val="Heading5"/>
        <w:rPr/>
      </w:pPr>
      <w:bookmarkStart w:colFirst="0" w:colLast="0" w:name="_fklspj84phrt" w:id="4"/>
      <w:bookmarkEnd w:id="4"/>
      <w:r w:rsidDel="00000000" w:rsidR="00000000" w:rsidRPr="00000000">
        <w:rPr>
          <w:rtl w:val="0"/>
        </w:rPr>
        <w:t xml:space="preserve">4. Technologische Skalierung: Von der Kernphysik zum GMA-Antrieb</w:t>
      </w:r>
    </w:p>
    <w:p w:rsidR="00000000" w:rsidDel="00000000" w:rsidP="00000000" w:rsidRDefault="00000000" w:rsidRPr="00000000" w14:paraId="0000000E">
      <w:pPr>
        <w:rPr/>
      </w:pPr>
      <w:r w:rsidDel="00000000" w:rsidR="00000000" w:rsidRPr="00000000">
        <w:rPr>
          <w:rtl w:val="0"/>
        </w:rPr>
        <w:t xml:space="preserve">Nach erfolgreicher Validierung des 3,773-MeV-Ankers erfolgt der Übergang zur aktiven Manipulation der Raumzeitgeometrie. Die erste Stufe dieser Transformation ist die Entwicklung von  </w:t>
      </w:r>
      <w:r w:rsidDel="00000000" w:rsidR="00000000" w:rsidRPr="00000000">
        <w:rPr>
          <w:b w:val="1"/>
          <w:bCs w:val="1"/>
          <w:rtl w:val="0"/>
        </w:rPr>
        <w:t xml:space="preserve">Gradient-Memory-Alloys (GMA)</w:t>
      </w:r>
      <w:r w:rsidDel="00000000" w:rsidR="00000000" w:rsidRPr="00000000">
        <w:rPr>
          <w:rtl w:val="0"/>
        </w:rPr>
        <w:t xml:space="preserve"> . Diese Materialien nutzen subquanten-gravitative Resonanzen und übertreffen konventionelle Formgedächtnislegierungen (SMA) signifikant:</w:t>
      </w:r>
    </w:p>
    <w:p w:rsidR="00000000" w:rsidDel="00000000" w:rsidP="00000000" w:rsidRDefault="00000000" w:rsidRPr="00000000" w14:paraId="0000000F">
      <w:pPr>
        <w:numPr>
          <w:ilvl w:val="0"/>
          <w:numId w:val="2"/>
        </w:numPr>
        <w:ind w:left="720" w:hanging="360"/>
        <w:rPr>
          <w:u w:val="none"/>
        </w:rPr>
      </w:pPr>
      <w:r w:rsidDel="00000000" w:rsidR="00000000" w:rsidRPr="00000000">
        <w:rPr>
          <w:b w:val="1"/>
          <w:bCs w:val="1"/>
          <w:rtl w:val="0"/>
        </w:rPr>
        <w:t xml:space="preserve">Reaktionsdynamik:</w:t>
      </w:r>
      <w:r w:rsidDel="00000000" w:rsidR="00000000" w:rsidRPr="00000000">
        <w:rPr>
          <w:rtl w:val="0"/>
        </w:rPr>
        <w:t xml:space="preserve">  50-fach schnellere Rückstellzeit gegenüber SMA.</w:t>
      </w:r>
    </w:p>
    <w:p w:rsidR="00000000" w:rsidDel="00000000" w:rsidP="00000000" w:rsidRDefault="00000000" w:rsidRPr="00000000" w14:paraId="00000010">
      <w:pPr>
        <w:numPr>
          <w:ilvl w:val="0"/>
          <w:numId w:val="2"/>
        </w:numPr>
        <w:ind w:left="720" w:hanging="360"/>
        <w:rPr>
          <w:u w:val="none"/>
        </w:rPr>
      </w:pPr>
      <w:r w:rsidDel="00000000" w:rsidR="00000000" w:rsidRPr="00000000">
        <w:rPr>
          <w:b w:val="1"/>
          <w:bCs w:val="1"/>
          <w:rtl w:val="0"/>
        </w:rPr>
        <w:t xml:space="preserve">Energieeffizienz:</w:t>
      </w:r>
      <w:r w:rsidDel="00000000" w:rsidR="00000000" w:rsidRPr="00000000">
        <w:rPr>
          <w:rtl w:val="0"/>
        </w:rPr>
        <w:t xml:space="preserve">  Steigerung des Wirkungsgrades um den Faktor  $\sim 1,2 \times 10^6$ .GMA-Strukturen bilden das Rückgrat des  </w:t>
      </w:r>
      <w:r w:rsidDel="00000000" w:rsidR="00000000" w:rsidRPr="00000000">
        <w:rPr>
          <w:b w:val="1"/>
          <w:bCs w:val="1"/>
          <w:rtl w:val="0"/>
        </w:rPr>
        <w:t xml:space="preserve">Gravitationsmanipulationsantriebs (GMA)</w:t>
      </w:r>
      <w:r w:rsidDel="00000000" w:rsidR="00000000" w:rsidRPr="00000000">
        <w:rPr>
          <w:rtl w:val="0"/>
        </w:rPr>
        <w:t xml:space="preserve"> . Die operative Krümmungsdichte ( $R$ ) wird durch die zentrale Antriebsformel definiert:$$R = C_{GMA} \cdot \frac{E_{Dyson} \cdot D_{\phi}}{\Delta M_{eff}}$$Hierbei ist  $C_{GMA}$  eine Composite-Konstante, die die technologische Brücke zwischen Gravitation und Quanteninformation schlägt, abgeleitet aus:  $$C_{GMA} = \left( \frac{c^{11}}{G^2 \cdot \hbar^2} \right) \cdot \ell_P$$Die energetische Prärogative für den interstellaren Warp-Flug ist die Skalierung zur  </w:t>
      </w:r>
      <w:r w:rsidDel="00000000" w:rsidR="00000000" w:rsidRPr="00000000">
        <w:rPr>
          <w:b w:val="1"/>
          <w:bCs w:val="1"/>
          <w:rtl w:val="0"/>
        </w:rPr>
        <w:t xml:space="preserve">Typ II Zivilisation</w:t>
      </w:r>
      <w:r w:rsidDel="00000000" w:rsidR="00000000" w:rsidRPr="00000000">
        <w:rPr>
          <w:rtl w:val="0"/>
        </w:rPr>
        <w:t xml:space="preserve"> . Die Erschließung der vollen solaren Leistung (ca.  $3,8 \times 10^{26}$  Watt) durch eine Dyson-Struktur ist die unverhandelbare physikalische Voraussetzung, um den Bulk-Tensor zur technologischen Raumzeit-Kompression zu nutzen.</w:t>
      </w:r>
    </w:p>
    <w:p w:rsidR="00000000" w:rsidDel="00000000" w:rsidP="00000000" w:rsidRDefault="00000000" w:rsidRPr="00000000" w14:paraId="00000011">
      <w:pPr>
        <w:pStyle w:val="Heading5"/>
        <w:rPr/>
      </w:pPr>
      <w:bookmarkStart w:colFirst="0" w:colLast="0" w:name="_98jwrb3irgye" w:id="5"/>
      <w:bookmarkEnd w:id="5"/>
      <w:r w:rsidDel="00000000" w:rsidR="00000000" w:rsidRPr="00000000">
        <w:rPr>
          <w:rtl w:val="0"/>
        </w:rPr>
        <w:t xml:space="preserve">5. Infrastrukturanforderungen und langfristige Auswirkungen</w:t>
      </w:r>
    </w:p>
    <w:p w:rsidR="00000000" w:rsidDel="00000000" w:rsidP="00000000" w:rsidRDefault="00000000" w:rsidRPr="00000000" w14:paraId="00000012">
      <w:pPr>
        <w:rPr/>
      </w:pPr>
      <w:r w:rsidDel="00000000" w:rsidR="00000000" w:rsidRPr="00000000">
        <w:rPr>
          <w:rtl w:val="0"/>
        </w:rPr>
        <w:t xml:space="preserve">Die Realisierung dieses Jahrhundertprojekts erfordert eine globale Kooperation und den Ausbau spezifischer Forschungsinfrastrukturen:</w:t>
      </w:r>
    </w:p>
    <w:p w:rsidR="00000000" w:rsidDel="00000000" w:rsidP="00000000" w:rsidRDefault="00000000" w:rsidRPr="00000000" w14:paraId="00000013">
      <w:pPr>
        <w:numPr>
          <w:ilvl w:val="0"/>
          <w:numId w:val="1"/>
        </w:numPr>
        <w:ind w:left="720" w:hanging="360"/>
        <w:rPr>
          <w:u w:val="none"/>
        </w:rPr>
      </w:pPr>
      <w:r w:rsidDel="00000000" w:rsidR="00000000" w:rsidRPr="00000000">
        <w:rPr>
          <w:b w:val="1"/>
          <w:bCs w:val="1"/>
          <w:rtl w:val="0"/>
        </w:rPr>
        <w:t xml:space="preserve">Schwerionen-Beschleuniger:</w:t>
      </w:r>
      <w:r w:rsidDel="00000000" w:rsidR="00000000" w:rsidRPr="00000000">
        <w:rPr>
          <w:rtl w:val="0"/>
        </w:rPr>
        <w:t xml:space="preserve">  Dedizierte Strahlzeit für die Erforschung der Bulk-Resonanzen in Transaktiniden.</w:t>
      </w:r>
    </w:p>
    <w:p w:rsidR="00000000" w:rsidDel="00000000" w:rsidP="00000000" w:rsidRDefault="00000000" w:rsidRPr="00000000" w14:paraId="00000014">
      <w:pPr>
        <w:numPr>
          <w:ilvl w:val="0"/>
          <w:numId w:val="1"/>
        </w:numPr>
        <w:ind w:left="720" w:hanging="360"/>
        <w:rPr>
          <w:u w:val="none"/>
        </w:rPr>
      </w:pPr>
      <w:r w:rsidDel="00000000" w:rsidR="00000000" w:rsidRPr="00000000">
        <w:rPr>
          <w:b w:val="1"/>
          <w:bCs w:val="1"/>
          <w:rtl w:val="0"/>
        </w:rPr>
        <w:t xml:space="preserve">EYRQ-Cavities:</w:t>
      </w:r>
      <w:r w:rsidDel="00000000" w:rsidR="00000000" w:rsidRPr="00000000">
        <w:rPr>
          <w:rtl w:val="0"/>
        </w:rPr>
        <w:t xml:space="preserve">  Vakuum-Resonatoren zur Untersuchung der Kopplung zwischen elastischen Gitterschwingungen und Gravitationsmetrik.</w:t>
      </w:r>
    </w:p>
    <w:p w:rsidR="00000000" w:rsidDel="00000000" w:rsidP="00000000" w:rsidRDefault="00000000" w:rsidRPr="00000000" w14:paraId="00000015">
      <w:pPr>
        <w:numPr>
          <w:ilvl w:val="0"/>
          <w:numId w:val="1"/>
        </w:numPr>
        <w:ind w:left="720" w:hanging="360"/>
        <w:rPr>
          <w:u w:val="none"/>
        </w:rPr>
      </w:pPr>
      <w:r w:rsidDel="00000000" w:rsidR="00000000" w:rsidRPr="00000000">
        <w:rPr>
          <w:b w:val="1"/>
          <w:bCs w:val="1"/>
          <w:rtl w:val="0"/>
        </w:rPr>
        <w:t xml:space="preserve">Planetare Piezoresonatoren:</w:t>
      </w:r>
      <w:r w:rsidDel="00000000" w:rsidR="00000000" w:rsidRPr="00000000">
        <w:rPr>
          <w:rtl w:val="0"/>
        </w:rPr>
        <w:t xml:space="preserve">  Nutzung tektonischer Bruchzonen als Signalverstärker. Die KM3NeT/Mittelmeer-Anomalie (Tellurische Neutrino-Resonanz) dient hierbei als Proof-of-Concept für die Nutzung planetarer Stressfelder zur Detektion von Bulk-Durchschlägen.Die gesellschaftliche Transformation durch die FKT erfolgt unter ethischen Leitplanken. Als „kausale Antithese zum Kali Yuga“ etabliert die Theorie die  </w:t>
      </w:r>
      <w:r w:rsidDel="00000000" w:rsidR="00000000" w:rsidRPr="00000000">
        <w:rPr>
          <w:b w:val="1"/>
          <w:bCs w:val="1"/>
          <w:rtl w:val="0"/>
        </w:rPr>
        <w:t xml:space="preserve">Null-Kausalitäts-Prärogative (NKP)</w:t>
      </w:r>
      <w:r w:rsidDel="00000000" w:rsidR="00000000" w:rsidRPr="00000000">
        <w:rPr>
          <w:rtl w:val="0"/>
        </w:rPr>
        <w:t xml:space="preserve"> . Diese fungiert als Governance-Protokoll für eine Post-Scarcity-Zivilisation und stellt sicher, dass die technologische Kontrolle der Raumzeit ausschließlich zur Entropieminimierung und regenerativen Heilung eingesetzt wird. Die Validierung des 3,773-MeV-Ankers ist somit das operative Startsignal für eine Ära der interstellaren Mobilität und kausalen Konsistenz.</w:t>
      </w:r>
    </w:p>
    <w:p w:rsidR="00000000" w:rsidDel="00000000" w:rsidP="00000000" w:rsidRDefault="00000000" w:rsidRPr="00000000" w14:paraId="0000001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