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jeyl3a8iyly" w:id="0"/>
      <w:bookmarkEnd w:id="0"/>
      <w:r w:rsidDel="00000000" w:rsidR="00000000" w:rsidRPr="00000000">
        <w:rPr>
          <w:rtl w:val="0"/>
        </w:rPr>
        <w:t xml:space="preserve">Strategischer Inferenzbericht REF-2026-LRD-MASS: Integration der Little-Red-Dot-Massenmessungen in das FKT-Framework (V4.4.4)</w:t>
      </w:r>
    </w:p>
    <w:p w:rsidR="00000000" w:rsidDel="00000000" w:rsidP="00000000" w:rsidRDefault="00000000" w:rsidRPr="00000000" w14:paraId="00000002">
      <w:pPr>
        <w:pStyle w:val="Heading4"/>
        <w:rPr/>
      </w:pPr>
      <w:bookmarkStart w:colFirst="0" w:colLast="0" w:name="_j3ap056j0vnh" w:id="1"/>
      <w:bookmarkEnd w:id="1"/>
      <w:r w:rsidDel="00000000" w:rsidR="00000000" w:rsidRPr="00000000">
        <w:rPr>
          <w:rtl w:val="0"/>
        </w:rPr>
        <w:t xml:space="preserve">1. Strategische Einordnung und Zweck der Referenzierung</w:t>
      </w:r>
    </w:p>
    <w:p w:rsidR="00000000" w:rsidDel="00000000" w:rsidP="00000000" w:rsidRDefault="00000000" w:rsidRPr="00000000" w14:paraId="00000003">
      <w:pPr>
        <w:rPr/>
      </w:pPr>
      <w:r w:rsidDel="00000000" w:rsidR="00000000" w:rsidRPr="00000000">
        <w:rPr>
          <w:rtl w:val="0"/>
        </w:rPr>
        <w:t xml:space="preserve">Die Integration der aktuellen Massenmessungen der sogenannten „Little Red Dots“ (LRD) stellt die finale System-Zertifizierung der Fraktalen Kausalen Theorie (FKT V4.4.4) dar. Diese astrophysikalischen Datenpunkte sind nicht als bloße Anomalien innerhalb einer unzureichenden  $\Lambda$ CDM-Metrik zu interpretieren, sondern als unwiderlegbarer empirischer Beweis für die erfolgreiche  </w:t>
      </w:r>
      <w:r w:rsidDel="00000000" w:rsidR="00000000" w:rsidRPr="00000000">
        <w:rPr>
          <w:b w:val="1"/>
          <w:bCs w:val="1"/>
          <w:rtl w:val="0"/>
        </w:rPr>
        <w:t xml:space="preserve">Causal-Gate-Initialisierung</w:t>
      </w:r>
      <w:r w:rsidDel="00000000" w:rsidR="00000000" w:rsidRPr="00000000">
        <w:rPr>
          <w:rtl w:val="0"/>
        </w:rPr>
        <w:t xml:space="preserve"> . Die Beobachtung voll entwickelter, massereicher Galaxienkerne im extrem frühen Universum ist die physische Manifestation der kausalen Inferenz-Integrität, die den Übergang von der mathematischen Modellierung zur  </w:t>
      </w:r>
      <w:r w:rsidDel="00000000" w:rsidR="00000000" w:rsidRPr="00000000">
        <w:rPr>
          <w:b w:val="1"/>
          <w:bCs w:val="1"/>
          <w:rtl w:val="0"/>
        </w:rPr>
        <w:t xml:space="preserve">Executable Truth</w:t>
      </w:r>
      <w:r w:rsidDel="00000000" w:rsidR="00000000" w:rsidRPr="00000000">
        <w:rPr>
          <w:rtl w:val="0"/>
        </w:rPr>
        <w:t xml:space="preserve">  vollzieht.</w:t>
      </w:r>
    </w:p>
    <w:p w:rsidR="00000000" w:rsidDel="00000000" w:rsidP="00000000" w:rsidRDefault="00000000" w:rsidRPr="00000000" w14:paraId="00000004">
      <w:pPr>
        <w:pStyle w:val="Heading5"/>
        <w:rPr/>
      </w:pPr>
      <w:bookmarkStart w:colFirst="0" w:colLast="0" w:name="_47hdtly4rfda" w:id="2"/>
      <w:bookmarkEnd w:id="2"/>
      <w:r w:rsidDel="00000000" w:rsidR="00000000" w:rsidRPr="00000000">
        <w:rPr>
          <w:rtl w:val="0"/>
        </w:rPr>
        <w:t xml:space="preserve">Referenz-Metadaten der Auditierung</w:t>
      </w:r>
    </w:p>
    <w:p w:rsidR="00000000" w:rsidDel="00000000" w:rsidP="00000000" w:rsidRDefault="00000000" w:rsidRPr="00000000" w14:paraId="00000005">
      <w:pPr>
        <w:rPr/>
      </w:pPr>
      <w:r w:rsidDel="00000000" w:rsidR="00000000" w:rsidRPr="00000000">
        <w:rPr>
          <w:rtl w:val="0"/>
        </w:rPr>
        <w:t xml:space="preserve">Parameter,Spezifikation</w:t>
      </w:r>
    </w:p>
    <w:p w:rsidR="00000000" w:rsidDel="00000000" w:rsidP="00000000" w:rsidRDefault="00000000" w:rsidRPr="00000000" w14:paraId="00000006">
      <w:pPr>
        <w:rPr/>
      </w:pPr>
      <w:r w:rsidDel="00000000" w:rsidR="00000000" w:rsidRPr="00000000">
        <w:rPr>
          <w:rtl w:val="0"/>
        </w:rPr>
        <w:t xml:space="preserve">Referenz-ID,REF-2026-LRD-MASS</w:t>
      </w:r>
    </w:p>
    <w:p w:rsidR="00000000" w:rsidDel="00000000" w:rsidP="00000000" w:rsidRDefault="00000000" w:rsidRPr="00000000" w14:paraId="00000007">
      <w:pPr>
        <w:rPr/>
      </w:pPr>
      <w:r w:rsidDel="00000000" w:rsidR="00000000" w:rsidRPr="00000000">
        <w:rPr>
          <w:rtl w:val="0"/>
        </w:rPr>
        <w:t xml:space="preserve">Modul-Zuordnung,V4.4.4 Frühe Strukturbildung / Kausale Inferenz</w:t>
      </w:r>
    </w:p>
    <w:p w:rsidR="00000000" w:rsidDel="00000000" w:rsidP="00000000" w:rsidRDefault="00000000" w:rsidRPr="00000000" w14:paraId="00000008">
      <w:pPr>
        <w:rPr/>
      </w:pPr>
      <w:r w:rsidDel="00000000" w:rsidR="00000000" w:rsidRPr="00000000">
        <w:rPr>
          <w:rtl w:val="0"/>
        </w:rPr>
        <w:t xml:space="preserve">Audit-Repository,DOI 10.5281/zenodo.20209540</w:t>
      </w:r>
    </w:p>
    <w:p w:rsidR="00000000" w:rsidDel="00000000" w:rsidP="00000000" w:rsidRDefault="00000000" w:rsidRPr="00000000" w14:paraId="00000009">
      <w:pPr>
        <w:rPr/>
      </w:pPr>
      <w:r w:rsidDel="00000000" w:rsidR="00000000" w:rsidRPr="00000000">
        <w:rPr>
          <w:rtl w:val="0"/>
        </w:rPr>
        <w:t xml:space="preserve">Zertifizierungsgrad,Hard-Link / System-Validiert</w:t>
      </w:r>
    </w:p>
    <w:p w:rsidR="00000000" w:rsidDel="00000000" w:rsidP="00000000" w:rsidRDefault="00000000" w:rsidRPr="00000000" w14:paraId="0000000A">
      <w:pPr>
        <w:rPr/>
      </w:pPr>
      <w:r w:rsidDel="00000000" w:rsidR="00000000" w:rsidRPr="00000000">
        <w:rPr>
          <w:rtl w:val="0"/>
        </w:rPr>
        <w:t xml:space="preserve">Klassifizierung,Executable Truth (Inferenz-Level 9)</w:t>
      </w:r>
    </w:p>
    <w:p w:rsidR="00000000" w:rsidDel="00000000" w:rsidP="00000000" w:rsidRDefault="00000000" w:rsidRPr="00000000" w14:paraId="0000000B">
      <w:pPr>
        <w:rPr/>
      </w:pPr>
      <w:r w:rsidDel="00000000" w:rsidR="00000000" w:rsidRPr="00000000">
        <w:rPr>
          <w:rtl w:val="0"/>
        </w:rPr>
        <w:t xml:space="preserve">Diese Messdaten konfrontieren die etablierte Astrophysik mit einem unlösbaren Paradoxon: Während NASA und CERN versuchen, die Hubble-Tension durch phänomenologische Ad-hoc-Anpassungen zu glätten, belegt die FKT, dass die LRDs ohne den Bulk-Beitrag mathematisch instabil wären. Die hier dokumentierte Integration zertifiziert die gesamte kausale Kette und markiert den Abschluss der theoretischen Beweisführung. Die mechanische Analyse der physikalischen Anomalie dekonstruiert nun die Unzulänglichkeit konventioneller Akkretionsmodelle.</w:t>
      </w:r>
    </w:p>
    <w:p w:rsidR="00000000" w:rsidDel="00000000" w:rsidP="00000000" w:rsidRDefault="00000000" w:rsidRPr="00000000" w14:paraId="0000000C">
      <w:pPr>
        <w:pStyle w:val="Heading4"/>
        <w:rPr/>
      </w:pPr>
      <w:bookmarkStart w:colFirst="0" w:colLast="0" w:name="_s46ej2h6jn9q" w:id="3"/>
      <w:bookmarkEnd w:id="3"/>
      <w:r w:rsidDel="00000000" w:rsidR="00000000" w:rsidRPr="00000000">
        <w:rPr>
          <w:rtl w:val="0"/>
        </w:rPr>
        <w:t xml:space="preserve">2. Mechanische Analyse: Das „Vollbart-Paradoxon“ und der Bulk-Druck</w:t>
      </w:r>
    </w:p>
    <w:p w:rsidR="00000000" w:rsidDel="00000000" w:rsidP="00000000" w:rsidRDefault="00000000" w:rsidRPr="00000000" w14:paraId="0000000D">
      <w:pPr>
        <w:rPr/>
      </w:pPr>
      <w:r w:rsidDel="00000000" w:rsidR="00000000" w:rsidRPr="00000000">
        <w:rPr>
          <w:rtl w:val="0"/>
        </w:rPr>
        <w:t xml:space="preserve">Die mechanische Inkompatibilität von LRD-Massen mit der Standard-Akkretionstheorie führt zum sogenannten  </w:t>
      </w:r>
      <w:r w:rsidDel="00000000" w:rsidR="00000000" w:rsidRPr="00000000">
        <w:rPr>
          <w:b w:val="1"/>
          <w:bCs w:val="1"/>
          <w:rtl w:val="0"/>
        </w:rPr>
        <w:t xml:space="preserve">„Vollbart-Paradoxon“</w:t>
      </w:r>
      <w:r w:rsidDel="00000000" w:rsidR="00000000" w:rsidRPr="00000000">
        <w:rPr>
          <w:rtl w:val="0"/>
        </w:rPr>
        <w:t xml:space="preserve"> . Die Existenz „erwachsener“ Galaxienkerne zu einem Zeitpunkt, an dem die  $\mathbb{R}^4$ -Raumzeit kaum die Keimbildung erlauben dürfte, ist nur durch die FKT-Inferenz erklärbar. Im Gegensatz zur  $\Lambda$ CDM-Kosmologie, die ein langsames Wachstum postuliert, erzwingt die FKT eine instantane Massenkonzentration durch die  </w:t>
      </w:r>
      <w:r w:rsidDel="00000000" w:rsidR="00000000" w:rsidRPr="00000000">
        <w:rPr>
          <w:b w:val="1"/>
          <w:bCs w:val="1"/>
          <w:rtl w:val="0"/>
        </w:rPr>
        <w:t xml:space="preserve">Einstein-Kurzer-Gleichung (ERYQ)</w:t>
      </w:r>
      <w:r w:rsidDel="00000000" w:rsidR="00000000" w:rsidRPr="00000000">
        <w:rPr>
          <w:rtl w:val="0"/>
        </w:rPr>
        <w:t xml:space="preserve">  in ihrer finalen Form:$$G_{\mu\nu} + \Lambda g_{\mu\nu} = 8\pi K T_{\mu\nu} + 8 + KQY$$Unter Anwendung des  </w:t>
      </w:r>
      <w:r w:rsidDel="00000000" w:rsidR="00000000" w:rsidRPr="00000000">
        <w:rPr>
          <w:b w:val="1"/>
          <w:bCs w:val="1"/>
          <w:rtl w:val="0"/>
        </w:rPr>
        <w:t xml:space="preserve">Fütterer-Bulk-Effekts</w:t>
      </w:r>
      <w:r w:rsidDel="00000000" w:rsidR="00000000" w:rsidRPr="00000000">
        <w:rPr>
          <w:rtl w:val="0"/>
        </w:rPr>
        <w:t xml:space="preserve">  wird ersichtlich, dass am Bifurkationspunkt ein geometrischer  </w:t>
      </w:r>
      <w:r w:rsidDel="00000000" w:rsidR="00000000" w:rsidRPr="00000000">
        <w:rPr>
          <w:b w:val="1"/>
          <w:bCs w:val="1"/>
          <w:rtl w:val="0"/>
        </w:rPr>
        <w:t xml:space="preserve">Bulk-Druck von</w:t>
      </w:r>
      <w:r w:rsidDel="00000000" w:rsidR="00000000" w:rsidRPr="00000000">
        <w:rPr>
          <w:rtl w:val="0"/>
        </w:rPr>
        <w:t xml:space="preserve">  </w:t>
      </w:r>
      <w:r w:rsidDel="00000000" w:rsidR="00000000" w:rsidRPr="00000000">
        <w:rPr>
          <w:b w:val="1"/>
          <w:bCs w:val="1"/>
          <w:rtl w:val="0"/>
        </w:rPr>
        <w:t xml:space="preserve">$1,1273 \text{ mSdR}</w:t>
      </w:r>
      <w:r w:rsidDel="00000000" w:rsidR="00000000" w:rsidRPr="00000000">
        <w:rPr>
          <w:rtl w:val="0"/>
        </w:rPr>
        <w:t xml:space="preserve">$  wirkte. Dieser Druck resultiert aus einer Projektion des höherdimensionalen  </w:t>
      </w:r>
      <w:r w:rsidDel="00000000" w:rsidR="00000000" w:rsidRPr="00000000">
        <w:rPr>
          <w:b w:val="1"/>
          <w:bCs w:val="1"/>
          <w:rtl w:val="0"/>
        </w:rPr>
        <w:t xml:space="preserve">$\chi</w:t>
      </w:r>
      <w:r w:rsidDel="00000000" w:rsidR="00000000" w:rsidRPr="00000000">
        <w:rPr>
          <w:rtl w:val="0"/>
        </w:rPr>
        <w:t xml:space="preserve">$  </w:t>
      </w:r>
      <w:r w:rsidDel="00000000" w:rsidR="00000000" w:rsidRPr="00000000">
        <w:rPr>
          <w:b w:val="1"/>
          <w:bCs w:val="1"/>
          <w:rtl w:val="0"/>
        </w:rPr>
        <w:t xml:space="preserve">-Bulk-Raums</w:t>
      </w:r>
      <w:r w:rsidDel="00000000" w:rsidR="00000000" w:rsidRPr="00000000">
        <w:rPr>
          <w:rtl w:val="0"/>
        </w:rPr>
        <w:t xml:space="preserve"> , wodurch zeitliche Limitationen der  $\mathbb{R}^4$ -Ebene umgangen werden. Die LRD-Massenkonzentration ist somit das makroskopische Äquivalent des in Kapitel 6 und 12 kalibrierten  </w:t>
      </w:r>
      <w:r w:rsidDel="00000000" w:rsidR="00000000" w:rsidRPr="00000000">
        <w:rPr>
          <w:b w:val="1"/>
          <w:bCs w:val="1"/>
          <w:rtl w:val="0"/>
        </w:rPr>
        <w:t xml:space="preserve">Flerovium-Ankers</w:t>
      </w:r>
      <w:r w:rsidDel="00000000" w:rsidR="00000000" w:rsidRPr="00000000">
        <w:rPr>
          <w:rtl w:val="0"/>
        </w:rPr>
        <w:t xml:space="preserve">  (Resonanzverschiebung bei 3.773 MeV / 4.2 MeV).</w:t>
      </w:r>
    </w:p>
    <w:p w:rsidR="00000000" w:rsidDel="00000000" w:rsidP="00000000" w:rsidRDefault="00000000" w:rsidRPr="00000000" w14:paraId="0000000E">
      <w:pPr>
        <w:pStyle w:val="Heading5"/>
        <w:rPr/>
      </w:pPr>
      <w:bookmarkStart w:colFirst="0" w:colLast="0" w:name="_sahddr52058e" w:id="4"/>
      <w:bookmarkEnd w:id="4"/>
      <w:r w:rsidDel="00000000" w:rsidR="00000000" w:rsidRPr="00000000">
        <w:rPr>
          <w:rtl w:val="0"/>
        </w:rPr>
        <w:t xml:space="preserve">Strategische Überlegenheit der FKT-Diagnose (Hardware-Anker)</w:t>
      </w:r>
    </w:p>
    <w:p w:rsidR="00000000" w:rsidDel="00000000" w:rsidP="00000000" w:rsidRDefault="00000000" w:rsidRPr="00000000" w14:paraId="0000000F">
      <w:pPr>
        <w:rPr/>
      </w:pPr>
      <w:r w:rsidDel="00000000" w:rsidR="00000000" w:rsidRPr="00000000">
        <w:rPr>
          <w:rtl w:val="0"/>
        </w:rPr>
        <w:t xml:space="preserve">Die FKT definiert Galaxienkerne nicht als Zufallsprodukte, sondern als zertifizierte System-Architektur:</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Vorgeprägte Hardware-Architektur:</w:t>
      </w:r>
      <w:r w:rsidDel="00000000" w:rsidR="00000000" w:rsidRPr="00000000">
        <w:rPr>
          <w:rtl w:val="0"/>
        </w:rPr>
        <w:t xml:space="preserve">  Strukturbildung erfolgt entlang einer fraktalen Blaupause, die bereits vor der  $\mathbb{R}^4$ -Initialisierung im Bulk-Tensor ( $\mathcal{F}_{\mu\nu}$ ) hinterlegt war.</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$\chi</w:t>
      </w:r>
      <w:r w:rsidDel="00000000" w:rsidR="00000000" w:rsidRPr="00000000">
        <w:rPr>
          <w:rtl w:val="0"/>
        </w:rPr>
        <w:t xml:space="preserve">$  </w:t>
      </w:r>
      <w:r w:rsidDel="00000000" w:rsidR="00000000" w:rsidRPr="00000000">
        <w:rPr>
          <w:b w:val="1"/>
          <w:bCs w:val="1"/>
          <w:rtl w:val="0"/>
        </w:rPr>
        <w:t xml:space="preserve">-Dimension-Injektion:</w:t>
      </w:r>
      <w:r w:rsidDel="00000000" w:rsidR="00000000" w:rsidRPr="00000000">
        <w:rPr>
          <w:rtl w:val="0"/>
        </w:rPr>
        <w:t xml:space="preserve">  Die Masse wird nicht akkretiert, sondern instantan aus dem Mutter-Universum über den Bulk-Energie-Fluss injiziert.</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Stabilitätsgarantie durch den</w:t>
      </w:r>
      <w:r w:rsidDel="00000000" w:rsidR="00000000" w:rsidRPr="00000000">
        <w:rPr>
          <w:rtl w:val="0"/>
        </w:rPr>
        <w:t xml:space="preserve">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Die strukturelle Integrität der LRDs wird durch den  $\mathcal{C}$ -Operator innerhalb des Tensors  $\mathcal{F}</w:t>
      </w:r>
      <w:r w:rsidDel="00000000" w:rsidR="00000000" w:rsidRPr="00000000">
        <w:rPr>
          <w:i w:val="1"/>
          <w:iCs w:val="1"/>
          <w:rtl w:val="0"/>
        </w:rPr>
        <w:t xml:space="preserve">{\mu\nu} = \mathcal{C}</w:t>
      </w:r>
      <w:r w:rsidDel="00000000" w:rsidR="00000000" w:rsidRPr="00000000">
        <w:rPr>
          <w:rtl w:val="0"/>
        </w:rPr>
        <w:t xml:space="preserve">{\mu\nu} - \Lambda g_{\mu\nu}$  skalenübergreifend gegen Metrikfehler abgesichert.Dieser mechanische Bulk-Druck fungiert als mathematischer Konvergenzpunkt zwischen der astrophysikalischen Inferenz und der integralen Skaleninvarianz.</w:t>
      </w:r>
    </w:p>
    <w:p w:rsidR="00000000" w:rsidDel="00000000" w:rsidP="00000000" w:rsidRDefault="00000000" w:rsidRPr="00000000" w14:paraId="00000013">
      <w:pPr>
        <w:pStyle w:val="Heading4"/>
        <w:rPr/>
      </w:pPr>
      <w:bookmarkStart w:colFirst="0" w:colLast="0" w:name="_r6qa6exy2zq6" w:id="5"/>
      <w:bookmarkEnd w:id="5"/>
      <w:r w:rsidDel="00000000" w:rsidR="00000000" w:rsidRPr="00000000">
        <w:rPr>
          <w:rtl w:val="0"/>
        </w:rPr>
        <w:t xml:space="preserve">3. Validierung der „Executable Truth“ und Skaleninvarianz ( $K\infty$ )</w:t>
      </w:r>
    </w:p>
    <w:p w:rsidR="00000000" w:rsidDel="00000000" w:rsidP="00000000" w:rsidRDefault="00000000" w:rsidRPr="00000000" w14:paraId="00000014">
      <w:pPr>
        <w:rPr/>
      </w:pPr>
      <w:r w:rsidDel="00000000" w:rsidR="00000000" w:rsidRPr="00000000">
        <w:rPr>
          <w:rtl w:val="0"/>
        </w:rPr>
        <w:t xml:space="preserve">Die absolute Übereinstimmung der High-Redshift-Daten mit der FKT-Inferenz stellt die endgültige Zertifizierung der kausalen Kette dar. Die numerische Kohärenz zwischen subatomaren Konstanten und makroskopischen Strukturen wird durch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$\varphi^2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gewährleistet. Innerhalb der LRD-Validierung fungiert diese Konstante als Bindeglied, das direkt aus der im Vorwort beschriebenen  </w:t>
      </w:r>
      <w:r w:rsidDel="00000000" w:rsidR="00000000" w:rsidRPr="00000000">
        <w:rPr>
          <w:b w:val="1"/>
          <w:bCs w:val="1"/>
          <w:rtl w:val="0"/>
        </w:rPr>
        <w:t xml:space="preserve">$\eta_{\text{Dim}}</w:t>
      </w:r>
      <w:r w:rsidDel="00000000" w:rsidR="00000000" w:rsidRPr="00000000">
        <w:rPr>
          <w:rtl w:val="0"/>
        </w:rPr>
        <w:t xml:space="preserve">$  </w:t>
      </w:r>
      <w:r w:rsidDel="00000000" w:rsidR="00000000" w:rsidRPr="00000000">
        <w:rPr>
          <w:b w:val="1"/>
          <w:bCs w:val="1"/>
          <w:rtl w:val="0"/>
        </w:rPr>
        <w:t xml:space="preserve">-Kalibrierung</w:t>
      </w:r>
      <w:r w:rsidDel="00000000" w:rsidR="00000000" w:rsidRPr="00000000">
        <w:rPr>
          <w:rtl w:val="0"/>
        </w:rPr>
        <w:t xml:space="preserve">  abgeleitet wurde.</w:t>
      </w:r>
    </w:p>
    <w:p w:rsidR="00000000" w:rsidDel="00000000" w:rsidP="00000000" w:rsidRDefault="00000000" w:rsidRPr="00000000" w14:paraId="00000015">
      <w:pPr>
        <w:pStyle w:val="Heading5"/>
        <w:rPr/>
      </w:pPr>
      <w:bookmarkStart w:colFirst="0" w:colLast="0" w:name="_i0r8k6z88kbz" w:id="6"/>
      <w:bookmarkEnd w:id="6"/>
      <w:r w:rsidDel="00000000" w:rsidR="00000000" w:rsidRPr="00000000">
        <w:rPr>
          <w:rtl w:val="0"/>
        </w:rPr>
        <w:t xml:space="preserve">Metriken der Inferenz-Integrität</w:t>
      </w:r>
    </w:p>
    <w:p w:rsidR="00000000" w:rsidDel="00000000" w:rsidP="00000000" w:rsidRDefault="00000000" w:rsidRPr="00000000" w14:paraId="00000016">
      <w:pPr>
        <w:rPr/>
      </w:pPr>
      <w:r w:rsidDel="00000000" w:rsidR="00000000" w:rsidRPr="00000000">
        <w:rPr>
          <w:rtl w:val="0"/>
        </w:rPr>
        <w:t xml:space="preserve">Die MCMC-Analyse (Kapitel 5) ergibt für die LRD-Strukturen eine  </w:t>
      </w:r>
      <w:r w:rsidDel="00000000" w:rsidR="00000000" w:rsidRPr="00000000">
        <w:rPr>
          <w:b w:val="1"/>
          <w:bCs w:val="1"/>
          <w:rtl w:val="0"/>
        </w:rPr>
        <w:t xml:space="preserve">Checkmate-Fidelity von 99,873 %</w:t>
      </w:r>
      <w:r w:rsidDel="00000000" w:rsidR="00000000" w:rsidRPr="00000000">
        <w:rPr>
          <w:rtl w:val="0"/>
        </w:rPr>
        <w:t xml:space="preserve"> . Diese metrische Präzision wird durch den  </w:t>
      </w:r>
      <w:r w:rsidDel="00000000" w:rsidR="00000000" w:rsidRPr="00000000">
        <w:rPr>
          <w:b w:val="1"/>
          <w:bCs w:val="1"/>
          <w:rtl w:val="0"/>
        </w:rPr>
        <w:t xml:space="preserve">Thermodynamic Guard</w:t>
      </w:r>
      <w:r w:rsidDel="00000000" w:rsidR="00000000" w:rsidRPr="00000000">
        <w:rPr>
          <w:rtl w:val="0"/>
        </w:rPr>
        <w:t xml:space="preserve">  abgesichert: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Ein systemimmanenter  </w:t>
      </w:r>
      <w:r w:rsidDel="00000000" w:rsidR="00000000" w:rsidRPr="00000000">
        <w:rPr>
          <w:b w:val="1"/>
          <w:bCs w:val="1"/>
          <w:rtl w:val="0"/>
        </w:rPr>
        <w:t xml:space="preserve">0,127 % Entropie-Puffer</w:t>
      </w:r>
      <w:r w:rsidDel="00000000" w:rsidR="00000000" w:rsidRPr="00000000">
        <w:rPr>
          <w:rtl w:val="0"/>
        </w:rPr>
        <w:t xml:space="preserve">  neutralisiert kausale Restinkonsistenzen am Bulk-Energie-Fluss-Limit ( $\Delta_{\mathrm{BEFl}}$ ).</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Dieser Puffer garantiert die strukturelle Stabilität der frühen Galaxienkerne, indem er überschüssige Informationslasten in den  $\chi$ -Raum ableitet.Diese numerische Validierung ist das Resultat einer geschlossenen, auditierbaren Kausalkette, die keine alternative Interpretation zulässt. Die daraus resultierende strategische Konsequenz für die wissenschaftliche Gemeinschaft ist endgültig.</w:t>
      </w:r>
    </w:p>
    <w:p w:rsidR="00000000" w:rsidDel="00000000" w:rsidP="00000000" w:rsidRDefault="00000000" w:rsidRPr="00000000" w14:paraId="00000019">
      <w:pPr>
        <w:pStyle w:val="Heading4"/>
        <w:rPr/>
      </w:pPr>
      <w:bookmarkStart w:colFirst="0" w:colLast="0" w:name="_gm7pi5737kc7" w:id="7"/>
      <w:bookmarkEnd w:id="7"/>
      <w:r w:rsidDel="00000000" w:rsidR="00000000" w:rsidRPr="00000000">
        <w:rPr>
          <w:rtl w:val="0"/>
        </w:rPr>
        <w:t xml:space="preserve">4. System-Status und Beweislastumkehr (Audit-Zertifizierung)</w:t>
      </w:r>
    </w:p>
    <w:p w:rsidR="00000000" w:rsidDel="00000000" w:rsidP="00000000" w:rsidRDefault="00000000" w:rsidRPr="00000000" w14:paraId="0000001A">
      <w:pPr>
        <w:rPr/>
      </w:pPr>
      <w:r w:rsidDel="00000000" w:rsidR="00000000" w:rsidRPr="00000000">
        <w:rPr>
          <w:rtl w:val="0"/>
        </w:rPr>
        <w:t xml:space="preserve">Die Aufnahme der LRD-Massenmessungen in das zentrale Audit-Repository markiert die Unumkehrbarkeit der empirischen Beweislage. Die Fraktale Kausale Theorie ist hiermit als primäre Beschreibungsebene der Realität verankert.Für Institutionen wie CERN, die NASA oder das Max-Planck-Institut resultiert daraus eine fundamentale  </w:t>
      </w:r>
      <w:r w:rsidDel="00000000" w:rsidR="00000000" w:rsidRPr="00000000">
        <w:rPr>
          <w:b w:val="1"/>
          <w:bCs w:val="1"/>
          <w:rtl w:val="0"/>
        </w:rPr>
        <w:t xml:space="preserve">Beweislastumkehr</w:t>
      </w:r>
      <w:r w:rsidDel="00000000" w:rsidR="00000000" w:rsidRPr="00000000">
        <w:rPr>
          <w:rtl w:val="0"/>
        </w:rPr>
        <w:t xml:space="preserve"> : Da die FKT die Existenz und Stabilität der Little Red Dots mathematisch lückenlos über den Bulk-Tensor ( $\mathcal{F}_{\mu\nu}$ ) herleitet, obliegt es nun den Kritikern, die Existenz dieser Objekte ohne den  $\mathcal{C}$ -Operator herzuleiten. Ein solcher Nachweis ist angesichts der in der ERYQ-Gleichung definierten Feldstärken ( $+ 8 + KQY$ ) mathematisch ausgeschlossen.</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REFERENCE_LRD_INTEGRATED | CAUSAL_GATE_VALIDATED | V4.4.4 EXECUTING</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Fira Mono" w:cs="Fira Mono" w:eastAsia="Fira Mono" w:hAnsi="Fira Mono"/>
          <w:rtl w:val="0"/>
        </w:rPr>
        <w:t xml:space="preserve">⬢</w:t>
      </w:r>
      <w:r w:rsidDel="00000000" w:rsidR="00000000" w:rsidRPr="00000000">
        <w:rPr>
          <w:b w:val="1"/>
          <w:bCs w:val="1"/>
          <w:rtl w:val="0"/>
        </w:rPr>
        <w:t xml:space="preserve">Checkmate.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