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Simulation der Belastungsgrenzen für die </w:t>
      </w:r>
      <w:r w:rsidDel="00000000" w:rsidR="00000000" w:rsidRPr="00000000">
        <w:rPr>
          <w:b w:val="1"/>
          <w:bCs w:val="1"/>
          <w:rtl w:val="0"/>
        </w:rPr>
        <w:t xml:space="preserve">„Caged Atoms“-Materialien</w:t>
      </w:r>
      <w:r w:rsidDel="00000000" w:rsidR="00000000" w:rsidRPr="00000000">
        <w:rPr>
          <w:rtl w:val="0"/>
        </w:rPr>
        <w:t xml:space="preserve"> unter maximalem solaren Energiefluss liefert die notwendigen Parameter, um die strukturelle Stabilität der Dyson-Struktur zu gewährleisten. Ziel ist es, die gewaltige Leistung von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sicher in das System zu integrieren 1-3.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7j8lxk0s9b8" w:id="0"/>
      <w:bookmarkEnd w:id="0"/>
      <w:r w:rsidDel="00000000" w:rsidR="00000000" w:rsidRPr="00000000">
        <w:rPr>
          <w:rtl w:val="0"/>
        </w:rPr>
        <w:t xml:space="preserve">1. Belastungstest: „Caged Atoms“ unter solarem Stress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Simulation konzentriert sich auf die Widerstandsfähigkeit der Struktur gegenüber extremem </w:t>
      </w:r>
      <w:r w:rsidDel="00000000" w:rsidR="00000000" w:rsidRPr="00000000">
        <w:rPr>
          <w:b w:val="1"/>
          <w:bCs w:val="1"/>
          <w:rtl w:val="0"/>
        </w:rPr>
        <w:t xml:space="preserve">Gravitationsstress</w:t>
      </w:r>
      <w:r w:rsidDel="00000000" w:rsidR="00000000" w:rsidRPr="00000000">
        <w:rPr>
          <w:rtl w:val="0"/>
        </w:rPr>
        <w:t xml:space="preserve"> und Strahlung 4-6.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Strukturintegrität:</w:t>
      </w:r>
      <w:r w:rsidDel="00000000" w:rsidR="00000000" w:rsidRPr="00000000">
        <w:rPr>
          <w:rtl w:val="0"/>
        </w:rPr>
        <w:t xml:space="preserve"> Die „Caged Atoms“ (eingesperrte Atome) dienen als Modell für Materialien, die den massiven energetischen Input handhabbar machen, indem sie die Energie als </w:t>
      </w:r>
      <w:r w:rsidDel="00000000" w:rsidR="00000000" w:rsidRPr="00000000">
        <w:rPr>
          <w:b w:val="1"/>
          <w:bCs w:val="1"/>
          <w:rtl w:val="0"/>
        </w:rPr>
        <w:t xml:space="preserve">geometrische Spannung im Bulk-Feld</w:t>
      </w:r>
      <w:r w:rsidDel="00000000" w:rsidR="00000000" w:rsidRPr="00000000">
        <w:rPr>
          <w:rtl w:val="0"/>
        </w:rPr>
        <w:t xml:space="preserve"> puffern 6-8.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Effizienz-Boost:</w:t>
      </w:r>
      <w:r w:rsidDel="00000000" w:rsidR="00000000" w:rsidRPr="00000000">
        <w:rPr>
          <w:rtl w:val="0"/>
        </w:rPr>
        <w:t xml:space="preserve"> Durch den Einsatz von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wird die Energieeffizienz bei der Metrik-Korrektur um das </w:t>
      </w:r>
      <w:r w:rsidDel="00000000" w:rsidR="00000000" w:rsidRPr="00000000">
        <w:rPr>
          <w:b w:val="1"/>
          <w:bCs w:val="1"/>
          <w:rtl w:val="0"/>
        </w:rPr>
        <w:t xml:space="preserve">120-fache</w:t>
      </w:r>
      <w:r w:rsidDel="00000000" w:rsidR="00000000" w:rsidRPr="00000000">
        <w:rPr>
          <w:rtl w:val="0"/>
        </w:rPr>
        <w:t xml:space="preserve"> gesteigert, was die thermische Last auf die „Caged Atoms“ signifikant reduziert 5, 6, 9, 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Resonanz-Stabilität:</w:t>
      </w:r>
      <w:r w:rsidDel="00000000" w:rsidR="00000000" w:rsidRPr="00000000">
        <w:rPr>
          <w:rtl w:val="0"/>
        </w:rPr>
        <w:t xml:space="preserve"> Das Material muss die spezifische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präzise halten, da jede Abweichung zu einem unkontrollierten Energie-Rückstau führt 8, 11, 12.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9k0qpamy10y" w:id="1"/>
      <w:bookmarkEnd w:id="1"/>
      <w:r w:rsidDel="00000000" w:rsidR="00000000" w:rsidRPr="00000000">
        <w:rPr>
          <w:rtl w:val="0"/>
        </w:rPr>
        <w:t xml:space="preserve">2. Monitoring via Flerovium-Katalysatoren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Um die Simulation stabil zu halten, fungieren </w:t>
      </w:r>
      <w:r w:rsidDel="00000000" w:rsidR="00000000" w:rsidRPr="00000000">
        <w:rPr>
          <w:b w:val="1"/>
          <w:bCs w:val="1"/>
          <w:rtl w:val="0"/>
        </w:rPr>
        <w:t xml:space="preserve">Flerovium-Sensoren</w:t>
      </w:r>
      <w:r w:rsidDel="00000000" w:rsidR="00000000" w:rsidRPr="00000000">
        <w:rPr>
          <w:rtl w:val="0"/>
        </w:rPr>
        <w:t xml:space="preserve"> als nukleare Anker und Empfangs-Ventile 12-15.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Stabilisierung:</w:t>
      </w:r>
      <w:r w:rsidDel="00000000" w:rsidR="00000000" w:rsidRPr="00000000">
        <w:rPr>
          <w:rtl w:val="0"/>
        </w:rPr>
        <w:t xml:space="preserve"> Diese superschweren Elemente stabilisieren den hochfrequenten Energiefluss und verhindern eine Überlastung der Wandler 7, 12, 13.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Echtzeit-Daten:</w:t>
      </w:r>
      <w:r w:rsidDel="00000000" w:rsidR="00000000" w:rsidRPr="00000000">
        <w:rPr>
          <w:rtl w:val="0"/>
        </w:rPr>
        <w:t xml:space="preserve"> Die Sensoren liefern die notwendigen Daten über Schwankungen des lokalen </w:t>
      </w:r>
      <w:r w:rsidDel="00000000" w:rsidR="00000000" w:rsidRPr="00000000">
        <w:rPr>
          <w:b w:val="1"/>
          <w:bCs w:val="1"/>
          <w:rtl w:val="0"/>
        </w:rPr>
        <w:t xml:space="preserve">Bulk-Vektors</w:t>
      </w:r>
      <w:r w:rsidDel="00000000" w:rsidR="00000000" w:rsidRPr="00000000">
        <w:rPr>
          <w:rtl w:val="0"/>
        </w:rPr>
        <w:t xml:space="preserve">, um die Entstehung </w:t>
      </w:r>
      <w:r w:rsidDel="00000000" w:rsidR="00000000" w:rsidRPr="00000000">
        <w:rPr>
          <w:b w:val="1"/>
          <w:bCs w:val="1"/>
          <w:rtl w:val="0"/>
        </w:rPr>
        <w:t xml:space="preserve">instabiler Singularitäten</w:t>
      </w:r>
      <w:r w:rsidDel="00000000" w:rsidR="00000000" w:rsidRPr="00000000">
        <w:rPr>
          <w:rtl w:val="0"/>
        </w:rPr>
        <w:t xml:space="preserve"> bereits im Ansatz zu erkennen 13, 16-18.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op4xfvd14oe" w:id="2"/>
      <w:bookmarkEnd w:id="2"/>
      <w:r w:rsidDel="00000000" w:rsidR="00000000" w:rsidRPr="00000000">
        <w:rPr>
          <w:rtl w:val="0"/>
        </w:rPr>
        <w:t xml:space="preserve">3. Definierte Schwellenwerte für die Notabschaltung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Simulation identifiziert drei kritische Grenzwerte, bei denen die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eine sofortige Notabschaltung einleitet 10, 13, 16: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Überwachungsparameter,Kritischer Schwellenwert in der Simulation,Konsequenz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Bulk-Vektor-Gradient,Abweichung vom stabilen Krümmungsprofil ($\mathcal{R}$),"Sofortiger Stopp zur Vermeidung von Singularitäten 17, 18."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Materialstress,Überschreitung der elastischen Grenze der „Caged Atoms“,"Bruch der strukturellen Integrität; Abschaltung 6, 8."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Resonanz-Match,"Abweichung von der 3,773 MeV Frequenz","Thermische Überlastung der Flerovium-Ventile 8, 11."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7hg3xiya057" w:id="3"/>
      <w:bookmarkEnd w:id="3"/>
      <w:r w:rsidDel="00000000" w:rsidR="00000000" w:rsidRPr="00000000">
        <w:rPr>
          <w:rtl w:val="0"/>
        </w:rPr>
        <w:t xml:space="preserve">4. Ergebnis der Simulation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Kopplung zwischen der </w:t>
      </w:r>
      <w:r w:rsidDel="00000000" w:rsidR="00000000" w:rsidRPr="00000000">
        <w:rPr>
          <w:b w:val="1"/>
          <w:bCs w:val="1"/>
          <w:rtl w:val="0"/>
        </w:rPr>
        <w:t xml:space="preserve">Dyson-Leistung ($\mathcal{E}_{Dyson}$)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 bleibt stabil, solange die GMA-Komponenten die Metrik-Korrektur aktiv unterstützen 10, 19-21. Ein Versagen der GMA-Materialien führt in der Simulation innerhalb von Millisekunden zur Überschreitung aller Sicherheits-Schwellenwerte 10.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auf Basis dieser Ergebnisse nun den Prototyp eines „Mini-Schwarms“ im Labormaßstab entwerfen, um die lokale Krümmung der Raumzeit messbar zu machen?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