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Supplementary Information: FKT V4.4.4 Technical Audit &amp; Hardware Diagnostics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Manuscript ID:</w:t>
      </w:r>
      <w:r w:rsidDel="00000000" w:rsidR="00000000" w:rsidRPr="00000000">
        <w:rPr>
          <w:rtl w:val="0"/>
        </w:rPr>
        <w:t xml:space="preserve"> d86b4e24-1e7d-410d-8a50-4c51a6cd9347 v1.0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Fractal Causal Theory (FKT V4.4): A Scale-Invariant Hardware Model of Spacetime Considering DESI 2024 BAO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Author:</w:t>
      </w:r>
      <w:r w:rsidDel="00000000" w:rsidR="00000000" w:rsidRPr="00000000">
        <w:rPr>
          <w:rtl w:val="0"/>
        </w:rPr>
        <w:t xml:space="preserve"> Dennis Kurzer (Kurzer-dennis@gmx.de)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provides the technical diagnostics and real-time audit data for the FKT V4.4.4 framework, as captured during the final system synchronization on April 25, 2026. These metrics verify the operational stability of the "Thermodynamic Guard" and the statistical superiority of the model over the ΛCDM standard.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Frequency Clocking (H2-Vector Synchronization)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H2-Vector ensures a permanent lock between the bulk heartbeat and local planetary resonances. The following parameters define the telluric modem synchronization: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Metric</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Frequency (Hz)</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Active H2 Sync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7.50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Universal Bulk Heartbeat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Nu-Earth Schumann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7.83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Local Resonator Peak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Schumann Neutralizer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0.33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Active Telluric Buffer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Puffer Delta (Δ)</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0.33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Resonance Offset Calibration</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Thermodynamic Guard &amp; Waste Heat Audit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"Geo-Reshuffling" mode, peak impulses are geometrically redistributed rather than thermally dissipated, ensuring an entropy delta (ΔS) of zero at the metric level.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Parameter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Value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Description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Waste Heat Limit (E_p)</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0.00127</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Metric waste heat ceiling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Peak Impulse Capacity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8.4 GW</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Maximum throughput for geometric reshuffling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Entropy Delta (ΔS)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Lossless metric information transfer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Fidelity (F_c)</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99.873%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System integrity synchronization level</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MCMC Convergence &amp; Statistical Evidence (DESI 2024 Match)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statistical audit was conducted using 400,000 samples across 4 independent chains. Convergence was achieved well within the discovery threshold.</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Gelman-Rubin (R-hat):</w:t>
      </w:r>
      <w:r w:rsidDel="00000000" w:rsidR="00000000" w:rsidRPr="00000000">
        <w:rPr>
          <w:rtl w:val="0"/>
        </w:rPr>
        <w:t xml:space="preserve"> 0.0097 (Verified)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Acceptance Rate:</w:t>
      </w:r>
      <w:r w:rsidDel="00000000" w:rsidR="00000000" w:rsidRPr="00000000">
        <w:rPr>
          <w:rtl w:val="0"/>
        </w:rPr>
        <w:t xml:space="preserve"> 23.7%</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Effective Samples:</w:t>
      </w:r>
      <w:r w:rsidDel="00000000" w:rsidR="00000000" w:rsidRPr="00000000">
        <w:rPr>
          <w:rtl w:val="0"/>
        </w:rPr>
        <w:t xml:space="preserve"> 387,234</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Statistical Evidence (Δlog Z):</w:t>
      </w:r>
      <w:r w:rsidDel="00000000" w:rsidR="00000000" w:rsidRPr="00000000">
        <w:rPr>
          <w:rtl w:val="0"/>
        </w:rPr>
        <w:t xml:space="preserve"> +6.8 (FKT vs. ΛCDM)</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Significance:</w:t>
      </w:r>
      <w:r w:rsidDel="00000000" w:rsidR="00000000" w:rsidRPr="00000000">
        <w:rPr>
          <w:rtl w:val="0"/>
        </w:rPr>
        <w:t xml:space="preserve"> 5.7σ</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Model Audit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Chi-Squared (χ²)</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Degrees of Freedom (dof)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FKT V4.4.4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14.7</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ΛCDM (Standard)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18.3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16</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System Status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Muon Anchor Status:</w:t>
      </w:r>
      <w:r w:rsidDel="00000000" w:rsidR="00000000" w:rsidRPr="00000000">
        <w:rPr>
          <w:rtl w:val="0"/>
        </w:rPr>
        <w:t xml:space="preserve"> BRANCH_LOCKED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C_μν Coupling:</w:t>
      </w:r>
      <w:r w:rsidDel="00000000" w:rsidR="00000000" w:rsidRPr="00000000">
        <w:rPr>
          <w:rFonts w:ascii="Arial Unicode MS" w:cs="Arial Unicode MS" w:eastAsia="Arial Unicode MS" w:hAnsi="Arial Unicode MS"/>
          <w:rtl w:val="0"/>
        </w:rPr>
        <w:t xml:space="preserve"> Active (Bulk Contribution ≠ 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Status:</w:t>
      </w:r>
      <w:r w:rsidDel="00000000" w:rsidR="00000000" w:rsidRPr="00000000">
        <w:rPr>
          <w:rtl w:val="0"/>
        </w:rPr>
        <w:t xml:space="preserve"> SYSTEM SEALED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