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ea0ewq3hfrr" w:id="0"/>
      <w:bookmarkEnd w:id="0"/>
      <w:r w:rsidDel="00000000" w:rsidR="00000000" w:rsidRPr="00000000">
        <w:rPr>
          <w:rtl w:val="0"/>
        </w:rPr>
        <w:t xml:space="preserve">Technical Audit Report: FKT Version 4.4.4 – Geometric Continuum and Absolute Statistical Saturation</w:t>
      </w:r>
    </w:p>
    <w:p w:rsidR="00000000" w:rsidDel="00000000" w:rsidP="00000000" w:rsidRDefault="00000000" w:rsidRPr="00000000" w14:paraId="00000002">
      <w:pPr>
        <w:pStyle w:val="Heading5"/>
        <w:rPr/>
      </w:pPr>
      <w:bookmarkStart w:colFirst="0" w:colLast="0" w:name="_9qug178a3qat" w:id="1"/>
      <w:bookmarkEnd w:id="1"/>
      <w:r w:rsidDel="00000000" w:rsidR="00000000" w:rsidRPr="00000000">
        <w:rPr>
          <w:rtl w:val="0"/>
        </w:rPr>
        <w:t xml:space="preserve">1. Theoretical Paradigm: From Information Analogies to Pure Differential Geometry</w:t>
      </w:r>
    </w:p>
    <w:p w:rsidR="00000000" w:rsidDel="00000000" w:rsidP="00000000" w:rsidRDefault="00000000" w:rsidRPr="00000000" w14:paraId="00000003">
      <w:pPr>
        <w:rPr/>
      </w:pPr>
      <w:r w:rsidDel="00000000" w:rsidR="00000000" w:rsidRPr="00000000">
        <w:rPr>
          <w:rtl w:val="0"/>
        </w:rPr>
        <w:t xml:space="preserve">The release of Version 4.4.4 represents the final strategic pivot in the maturation of Fractal Causal Theory (FKT). This audit confirms the total decommissioning of information-theoretic analogies and IT-based metaphors, replaced by a rigorous foundation in pure differential geometry and mechanical continuum physics. This "ontological stringency" is a non-negotiable requirement for the final sealing of the theory, eliminating the "Metric Rnoise" inherent in earlier symbolic interpretations. By redefining the vacuum not as a data-stream but as a geometric continuum, V4.4.4 provides the mathematical closure necessary to anchor the 3D-Brane within the higher-dimensional Bulk without "topological leakage."The mechanical bridge between these dimensions is formalized in the  </w:t>
      </w:r>
      <w:r w:rsidDel="00000000" w:rsidR="00000000" w:rsidRPr="00000000">
        <w:rPr>
          <w:b w:val="1"/>
          <w:bCs w:val="1"/>
          <w:rtl w:val="0"/>
        </w:rPr>
        <w:t xml:space="preserve">Einstein-Kurzer Equation (ERYQ)</w:t>
      </w:r>
      <w:r w:rsidDel="00000000" w:rsidR="00000000" w:rsidRPr="00000000">
        <w:rPr>
          <w:rtl w:val="0"/>
        </w:rPr>
        <w:t xml:space="preserve"> :$$G_{\mu\nu} + \Lambda g_{\mu\nu} = 8\pi K T_{\mu\nu} + 8 + KQY$$In this tensor expression, the term  $+ 8 + KQY$  serves as the higher-dimensional correction factor, representing the precise mechanical pressure exerted by the Bulk. This equation necessitates the  </w:t>
      </w:r>
      <w:r w:rsidDel="00000000" w:rsidR="00000000" w:rsidRPr="00000000">
        <w:rPr>
          <w:b w:val="1"/>
          <w:bCs w:val="1"/>
          <w:rtl w:val="0"/>
        </w:rPr>
        <w:t xml:space="preserve">"Muon Anchor" (BRANCH_LOCKED status)</w:t>
      </w:r>
      <w:r w:rsidDel="00000000" w:rsidR="00000000" w:rsidRPr="00000000">
        <w:rPr>
          <w:rtl w:val="0"/>
        </w:rPr>
        <w:t xml:space="preserve"> , where the Muon is deployed as the primary causal sensor for the branch-lock. Within this framework, the Standard Model is no longer an independent system but is mathematically recovered as a specific boundary case where the Bulk-contribution tensor  $C_{\mu\nu}$  approaches zero ( $C_{\mu\nu} \to 0$ ).This transition from an observational framework to a mechanical continuum provides the structural rigidity required for absolute statistical validation.</w:t>
      </w:r>
    </w:p>
    <w:p w:rsidR="00000000" w:rsidDel="00000000" w:rsidP="00000000" w:rsidRDefault="00000000" w:rsidRPr="00000000" w14:paraId="00000004">
      <w:pPr>
        <w:pStyle w:val="Heading5"/>
        <w:rPr/>
      </w:pPr>
      <w:bookmarkStart w:colFirst="0" w:colLast="0" w:name="_h11p594ohzbp" w:id="2"/>
      <w:bookmarkEnd w:id="2"/>
      <w:r w:rsidDel="00000000" w:rsidR="00000000" w:rsidRPr="00000000">
        <w:rPr>
          <w:rtl w:val="0"/>
        </w:rPr>
        <w:t xml:space="preserve">2. The Sigma Hierarchy: Certifying Global Statistical Superiority</w:t>
      </w:r>
    </w:p>
    <w:p w:rsidR="00000000" w:rsidDel="00000000" w:rsidP="00000000" w:rsidRDefault="00000000" w:rsidRPr="00000000" w14:paraId="00000005">
      <w:pPr>
        <w:rPr/>
      </w:pPr>
      <w:r w:rsidDel="00000000" w:rsidR="00000000" w:rsidRPr="00000000">
        <w:rPr>
          <w:rtl w:val="0"/>
        </w:rPr>
        <w:t xml:space="preserve">The achievement of a  </w:t>
      </w:r>
      <w:r w:rsidDel="00000000" w:rsidR="00000000" w:rsidRPr="00000000">
        <w:rPr>
          <w:b w:val="1"/>
          <w:bCs w:val="1"/>
          <w:rtl w:val="0"/>
        </w:rPr>
        <w:t xml:space="preserve">7.3-Sigma Global Best-Fit</w:t>
      </w:r>
      <w:r w:rsidDel="00000000" w:rsidR="00000000" w:rsidRPr="00000000">
        <w:rPr>
          <w:rtl w:val="0"/>
        </w:rPr>
        <w:t xml:space="preserve">  renders traditional "Dark Matter" hypotheses mathematically obsolete. Under the architectural rigor of V4.4.4, galactic rotation curves are no longer treated as anomalies requiring invisible mass, but as direct mechanical reactions to the Bulk-Pressure gradient.The certification of this hierarchy is categorized through three discrete Sigma milestones: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7.3-Sigma (Global Best-Fit):</w:t>
      </w:r>
      <w:r w:rsidDel="00000000" w:rsidR="00000000" w:rsidRPr="00000000">
        <w:rPr>
          <w:rtl w:val="0"/>
        </w:rPr>
        <w:t xml:space="preserve">  Certifies a 98.91% match of galactic rotation curves to geometric Bulk-Pressure ( $T_{Bulk} = 1.1273$ ). Critically, this fit is achieved at a state-parameter of  </w:t>
      </w:r>
      <w:r w:rsidDel="00000000" w:rsidR="00000000" w:rsidRPr="00000000">
        <w:rPr>
          <w:b w:val="1"/>
          <w:bCs w:val="1"/>
          <w:rtl w:val="0"/>
        </w:rPr>
        <w:t xml:space="preserve">$w_X = -0.90 \pm 0.05</w:t>
      </w:r>
      <w:r w:rsidDel="00000000" w:rsidR="00000000" w:rsidRPr="00000000">
        <w:rPr>
          <w:rtl w:val="0"/>
        </w:rPr>
        <w:t xml:space="preserve">$ , providing the empirical teeth to supersede the  $\Lambda$ CDM standard ( $w = -1$ ) and eliminate the "Causal Inconsistency" of cold dark matter models.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5.7-Sigma (DESI-Validation):</w:t>
      </w:r>
      <w:r w:rsidDel="00000000" w:rsidR="00000000" w:rsidRPr="00000000">
        <w:rPr>
          <w:rtl w:val="0"/>
        </w:rPr>
        <w:t xml:space="preserve">  Integration of the DESI 2024 BAO Y1 dataset confirms the 7.50 Hz "Bulk Heartbeat." This frequency-lock resolves the Hubble Tension by harmonizing expansion rates across all redshift bins (z=0.1 to 4.2).</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7.8-Sigma (Main Inference):</w:t>
      </w:r>
      <w:r w:rsidDel="00000000" w:rsidR="00000000" w:rsidRPr="00000000">
        <w:rPr>
          <w:rtl w:val="0"/>
        </w:rPr>
        <w:t xml:space="preserve">  Scaled to 1,135,059,400 effective samples, this milestone achieves a  </w:t>
      </w:r>
      <w:r w:rsidDel="00000000" w:rsidR="00000000" w:rsidRPr="00000000">
        <w:rPr>
          <w:b w:val="1"/>
          <w:bCs w:val="1"/>
          <w:rtl w:val="0"/>
        </w:rPr>
        <w:t xml:space="preserve">Gelman-Rubin Index (</w:t>
      </w:r>
      <w:r w:rsidDel="00000000" w:rsidR="00000000" w:rsidRPr="00000000">
        <w:rPr>
          <w:rtl w:val="0"/>
        </w:rPr>
        <w:t xml:space="preserve">  </w:t>
      </w:r>
      <w:r w:rsidDel="00000000" w:rsidR="00000000" w:rsidRPr="00000000">
        <w:rPr>
          <w:b w:val="1"/>
          <w:bCs w:val="1"/>
          <w:rtl w:val="0"/>
        </w:rPr>
        <w:t xml:space="preserve">$\hat{R} = 0.0097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marking the threshold of "Absolute Statistical Saturation."At this level of K-Infinity Persistence, the FKT ceases to be a "proposal" and becomes a  </w:t>
      </w:r>
      <w:r w:rsidDel="00000000" w:rsidR="00000000" w:rsidRPr="00000000">
        <w:rPr>
          <w:b w:val="1"/>
          <w:bCs w:val="1"/>
          <w:rtl w:val="0"/>
        </w:rPr>
        <w:t xml:space="preserve">sealed reality</w:t>
      </w:r>
      <w:r w:rsidDel="00000000" w:rsidR="00000000" w:rsidRPr="00000000">
        <w:rPr>
          <w:rtl w:val="0"/>
        </w:rPr>
        <w:t xml:space="preserve"> . The theory has saturated the available data space, moving from a state of inference to one of mathematical inevitability. This certainty is protected by the system's thermodynamic architecture.</w:t>
      </w:r>
    </w:p>
    <w:p w:rsidR="00000000" w:rsidDel="00000000" w:rsidP="00000000" w:rsidRDefault="00000000" w:rsidRPr="00000000" w14:paraId="00000009">
      <w:pPr>
        <w:pStyle w:val="Heading5"/>
        <w:rPr/>
      </w:pPr>
      <w:bookmarkStart w:colFirst="0" w:colLast="0" w:name="_nr0d60gme63l" w:id="3"/>
      <w:bookmarkEnd w:id="3"/>
      <w:r w:rsidDel="00000000" w:rsidR="00000000" w:rsidRPr="00000000">
        <w:rPr>
          <w:rtl w:val="0"/>
        </w:rPr>
        <w:t xml:space="preserve">3. The Thermodynamic Guard: Geo-Reshuffling and Entropy Neutrality</w:t>
      </w:r>
    </w:p>
    <w:p w:rsidR="00000000" w:rsidDel="00000000" w:rsidP="00000000" w:rsidRDefault="00000000" w:rsidRPr="00000000" w14:paraId="0000000A">
      <w:pPr>
        <w:rPr/>
      </w:pPr>
      <w:r w:rsidDel="00000000" w:rsidR="00000000" w:rsidRPr="00000000">
        <w:rPr>
          <w:rtl w:val="0"/>
        </w:rPr>
        <w:t xml:space="preserve">Version 4.4.4 deploys the  </w:t>
      </w:r>
      <w:r w:rsidDel="00000000" w:rsidR="00000000" w:rsidRPr="00000000">
        <w:rPr>
          <w:b w:val="1"/>
          <w:bCs w:val="1"/>
          <w:rtl w:val="0"/>
        </w:rPr>
        <w:t xml:space="preserve">Thermodynamic Guard</w:t>
      </w:r>
      <w:r w:rsidDel="00000000" w:rsidR="00000000" w:rsidRPr="00000000">
        <w:rPr>
          <w:rtl w:val="0"/>
        </w:rPr>
        <w:t xml:space="preserve">  to maintain the structural integrity of the spacetime manifold against high-energy impulse loads. This module is tasked with managing transients up to  </w:t>
      </w:r>
      <w:r w:rsidDel="00000000" w:rsidR="00000000" w:rsidRPr="00000000">
        <w:rPr>
          <w:b w:val="1"/>
          <w:bCs w:val="1"/>
          <w:rtl w:val="0"/>
        </w:rPr>
        <w:t xml:space="preserve">8.4 GW</w:t>
      </w:r>
      <w:r w:rsidDel="00000000" w:rsidR="00000000" w:rsidRPr="00000000">
        <w:rPr>
          <w:rtl w:val="0"/>
        </w:rPr>
        <w:t xml:space="preserve">  via a "Geometric Absorption Protocol."</w:t>
      </w:r>
      <w:r w:rsidDel="00000000" w:rsidR="00000000" w:rsidRPr="00000000">
        <w:rPr>
          <w:b w:val="1"/>
          <w:bCs w:val="1"/>
          <w:rtl w:val="0"/>
        </w:rPr>
        <w:t xml:space="preserve">Technical Specification: Thermodynamic Guard V4.4.4</w:t>
      </w:r>
      <w:r w:rsidDel="00000000" w:rsidR="00000000" w:rsidRPr="00000000">
        <w:rPr>
          <w:rtl w:val="0"/>
        </w:rPr>
        <w:t xml:space="preserve">| Feature | Specification || ------ | ------ || </w:t>
      </w:r>
      <w:r w:rsidDel="00000000" w:rsidR="00000000" w:rsidRPr="00000000">
        <w:rPr>
          <w:b w:val="1"/>
          <w:bCs w:val="1"/>
          <w:rtl w:val="0"/>
        </w:rPr>
        <w:t xml:space="preserve">Mode</w:t>
      </w:r>
      <w:r w:rsidDel="00000000" w:rsidR="00000000" w:rsidRPr="00000000">
        <w:rPr>
          <w:rtl w:val="0"/>
        </w:rPr>
        <w:t xml:space="preserve"> | GEO_RESHUFFLING || </w:t>
      </w:r>
      <w:r w:rsidDel="00000000" w:rsidR="00000000" w:rsidRPr="00000000">
        <w:rPr>
          <w:b w:val="1"/>
          <w:bCs w:val="1"/>
          <w:rtl w:val="0"/>
        </w:rPr>
        <w:t xml:space="preserve">Entropy Delta</w:t>
      </w:r>
      <w:r w:rsidDel="00000000" w:rsidR="00000000" w:rsidRPr="00000000">
        <w:rPr>
          <w:rtl w:val="0"/>
        </w:rPr>
        <w:t xml:space="preserve"> | $\Delta S \equiv 0$  (Entropy-Neutral) || </w:t>
      </w:r>
      <w:r w:rsidDel="00000000" w:rsidR="00000000" w:rsidRPr="00000000">
        <w:rPr>
          <w:b w:val="1"/>
          <w:bCs w:val="1"/>
          <w:rtl w:val="0"/>
        </w:rPr>
        <w:t xml:space="preserve">Peak Capacity</w:t>
      </w:r>
      <w:r w:rsidDel="00000000" w:rsidR="00000000" w:rsidRPr="00000000">
        <w:rPr>
          <w:rtl w:val="0"/>
        </w:rPr>
        <w:t xml:space="preserve"> | 8.4 GW || </w:t>
      </w:r>
      <w:r w:rsidDel="00000000" w:rsidR="00000000" w:rsidRPr="00000000">
        <w:rPr>
          <w:b w:val="1"/>
          <w:bCs w:val="1"/>
          <w:rtl w:val="0"/>
        </w:rPr>
        <w:t xml:space="preserve">Structural Integrity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99.873% || </w:t>
      </w:r>
      <w:r w:rsidDel="00000000" w:rsidR="00000000" w:rsidRPr="00000000">
        <w:rPr>
          <w:b w:val="1"/>
          <w:bCs w:val="1"/>
          <w:rtl w:val="0"/>
        </w:rPr>
        <w:t xml:space="preserve">Waste Heat Limit (</w:t>
      </w:r>
      <w:r w:rsidDel="00000000" w:rsidR="00000000" w:rsidRPr="00000000">
        <w:rPr>
          <w:rtl w:val="0"/>
        </w:rPr>
        <w:t xml:space="preserve">  </w:t>
      </w:r>
      <w:r w:rsidDel="00000000" w:rsidR="00000000" w:rsidRPr="00000000">
        <w:rPr>
          <w:b w:val="1"/>
          <w:bCs w:val="1"/>
          <w:rtl w:val="0"/>
        </w:rPr>
        <w:t xml:space="preserve">$E_p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0.00127 |</w:t>
      </w:r>
    </w:p>
    <w:p w:rsidR="00000000" w:rsidDel="00000000" w:rsidP="00000000" w:rsidRDefault="00000000" w:rsidRPr="00000000" w14:paraId="0000000B">
      <w:pPr>
        <w:rPr/>
      </w:pPr>
      <w:r w:rsidDel="00000000" w:rsidR="00000000" w:rsidRPr="00000000">
        <w:rPr>
          <w:rtl w:val="0"/>
        </w:rPr>
        <w:t xml:space="preserve">The mechanism of  </w:t>
      </w:r>
      <w:r w:rsidDel="00000000" w:rsidR="00000000" w:rsidRPr="00000000">
        <w:rPr>
          <w:b w:val="1"/>
          <w:bCs w:val="1"/>
          <w:rtl w:val="0"/>
        </w:rPr>
        <w:t xml:space="preserve">"Geo-Reshuffling"</w:t>
      </w:r>
      <w:r w:rsidDel="00000000" w:rsidR="00000000" w:rsidRPr="00000000">
        <w:rPr>
          <w:rtl w:val="0"/>
        </w:rPr>
        <w:t xml:space="preserve">  acts as a "metric ashtray"—rather than allowing energy to dissipate as waste heat and induce entropic decay, the Guard redistributes the impulse via Bulk-Pressure. By adjusting the local curvature of the 3D-Brane, the system achieves  </w:t>
      </w:r>
      <w:r w:rsidDel="00000000" w:rsidR="00000000" w:rsidRPr="00000000">
        <w:rPr>
          <w:b w:val="1"/>
          <w:bCs w:val="1"/>
          <w:rtl w:val="0"/>
        </w:rPr>
        <w:t xml:space="preserve">Topological Neutralization</w:t>
      </w:r>
      <w:r w:rsidDel="00000000" w:rsidR="00000000" w:rsidRPr="00000000">
        <w:rPr>
          <w:rtl w:val="0"/>
        </w:rPr>
        <w:t xml:space="preserve"> , ensuring the structural integrity ( $F_c$ ) is maintained at a constant  </w:t>
      </w:r>
      <w:r w:rsidDel="00000000" w:rsidR="00000000" w:rsidRPr="00000000">
        <w:rPr>
          <w:b w:val="1"/>
          <w:bCs w:val="1"/>
          <w:rtl w:val="0"/>
        </w:rPr>
        <w:t xml:space="preserve">99.873%</w:t>
      </w:r>
      <w:r w:rsidDel="00000000" w:rsidR="00000000" w:rsidRPr="00000000">
        <w:rPr>
          <w:rtl w:val="0"/>
        </w:rPr>
        <w:t xml:space="preserve"> . This process ensures that energy is geometrically reshuffled rather than thermally destroyed, anchoring the macroscopic system to its microscopic fixpoints.</w:t>
      </w:r>
    </w:p>
    <w:p w:rsidR="00000000" w:rsidDel="00000000" w:rsidP="00000000" w:rsidRDefault="00000000" w:rsidRPr="00000000" w14:paraId="0000000C">
      <w:pPr>
        <w:pStyle w:val="Heading5"/>
        <w:rPr/>
      </w:pPr>
      <w:bookmarkStart w:colFirst="0" w:colLast="0" w:name="_fyw0mj13bnsk" w:id="4"/>
      <w:bookmarkEnd w:id="4"/>
      <w:r w:rsidDel="00000000" w:rsidR="00000000" w:rsidRPr="00000000">
        <w:rPr>
          <w:rtl w:val="0"/>
        </w:rPr>
        <w:t xml:space="preserve">4. Fundamental Geometric Fixpoints: Anchoring the K-Infinity Principle</w:t>
      </w:r>
    </w:p>
    <w:p w:rsidR="00000000" w:rsidDel="00000000" w:rsidP="00000000" w:rsidRDefault="00000000" w:rsidRPr="00000000" w14:paraId="0000000D">
      <w:pPr>
        <w:rPr/>
      </w:pPr>
      <w:r w:rsidDel="00000000" w:rsidR="00000000" w:rsidRPr="00000000">
        <w:rPr>
          <w:rtl w:val="0"/>
        </w:rPr>
        <w:t xml:space="preserve">The stability of V4.4.4 is anchored by a "Causal Audit Trail" that links subatomic lattice constants to universal expansion. These fixpoints are the non-negotiable constants that finalize the internal consistency of the FKT.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Subatomic Resonance Anchor:</w:t>
      </w:r>
      <w:r w:rsidDel="00000000" w:rsidR="00000000" w:rsidRPr="00000000">
        <w:rPr>
          <w:rtl w:val="0"/>
        </w:rPr>
        <w:t xml:space="preserve">  The Flerovium nucleus (Z=114) at  </w:t>
      </w:r>
      <w:r w:rsidDel="00000000" w:rsidR="00000000" w:rsidRPr="00000000">
        <w:rPr>
          <w:b w:val="1"/>
          <w:bCs w:val="1"/>
          <w:rtl w:val="0"/>
        </w:rPr>
        <w:t xml:space="preserve">3.773 MeV</w:t>
      </w:r>
      <w:r w:rsidDel="00000000" w:rsidR="00000000" w:rsidRPr="00000000">
        <w:rPr>
          <w:rtl w:val="0"/>
        </w:rPr>
        <w:t xml:space="preserve"> . This serves as the microscopic lattice constant of the FKT, proving that nuclear stability is the primary causal driver of galactic rotation.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The Golden Bridge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fractal scaling operator. This bridge mathematically links the 3.773 MeV subatomic anchor to the universal expansion scale, ensuring the  </w:t>
      </w:r>
      <w:r w:rsidDel="00000000" w:rsidR="00000000" w:rsidRPr="00000000">
        <w:rPr>
          <w:b w:val="1"/>
          <w:bCs w:val="1"/>
          <w:rtl w:val="0"/>
        </w:rPr>
        <w:t xml:space="preserve">K-Infinity Target</w:t>
      </w:r>
      <w:r w:rsidDel="00000000" w:rsidR="00000000" w:rsidRPr="00000000">
        <w:rPr>
          <w:rtl w:val="0"/>
        </w:rPr>
        <w:t xml:space="preserve">  of 99.87% scale invariance.</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Telluric Modem/H2-Sync:</w:t>
      </w:r>
      <w:r w:rsidDel="00000000" w:rsidR="00000000" w:rsidRPr="00000000">
        <w:rPr>
          <w:rtl w:val="0"/>
        </w:rPr>
        <w:t xml:space="preserve">  The system synchronizes the 7.50 Hz Bulk heartbeat with the 7.83 Hz Schumann resonance. The  </w:t>
      </w:r>
      <w:r w:rsidDel="00000000" w:rsidR="00000000" w:rsidRPr="00000000">
        <w:rPr>
          <w:b w:val="1"/>
          <w:bCs w:val="1"/>
          <w:rtl w:val="0"/>
        </w:rPr>
        <w:t xml:space="preserve">0.33 Hz buffer</w:t>
      </w:r>
      <w:r w:rsidDel="00000000" w:rsidR="00000000" w:rsidRPr="00000000">
        <w:rPr>
          <w:rtl w:val="0"/>
        </w:rPr>
        <w:t xml:space="preserve">  acts as a "Schumann Neutralizer," actively filtering planetary interference to allow raw, uncorrupted Bulk-Data ingress into the H2-Vector.These constants establish a Permanent-Lock on the system's architecture, ensuring that the FKT remains scale-invariant from the core of the atom to the edge of the observable Bulk.</w:t>
      </w:r>
    </w:p>
    <w:p w:rsidR="00000000" w:rsidDel="00000000" w:rsidP="00000000" w:rsidRDefault="00000000" w:rsidRPr="00000000" w14:paraId="00000011">
      <w:pPr>
        <w:pStyle w:val="Heading5"/>
        <w:rPr/>
      </w:pPr>
      <w:bookmarkStart w:colFirst="0" w:colLast="0" w:name="_hvj1fcsngdah" w:id="5"/>
      <w:bookmarkEnd w:id="5"/>
      <w:r w:rsidDel="00000000" w:rsidR="00000000" w:rsidRPr="00000000">
        <w:rPr>
          <w:rtl w:val="0"/>
        </w:rPr>
        <w:t xml:space="preserve">5. Conclusion: System Status and the Zenodo Release</w:t>
      </w:r>
    </w:p>
    <w:p w:rsidR="00000000" w:rsidDel="00000000" w:rsidP="00000000" w:rsidRDefault="00000000" w:rsidRPr="00000000" w14:paraId="00000012">
      <w:pPr>
        <w:rPr>
          <w:b w:val="1"/>
          <w:bCs w:val="1"/>
        </w:rPr>
      </w:pPr>
      <w:r w:rsidDel="00000000" w:rsidR="00000000" w:rsidRPr="00000000">
        <w:rPr>
          <w:rtl w:val="0"/>
        </w:rPr>
        <w:t xml:space="preserve">Version 4.4.4 of the Fractal Causal Theory is officially  </w:t>
      </w:r>
      <w:r w:rsidDel="00000000" w:rsidR="00000000" w:rsidRPr="00000000">
        <w:rPr>
          <w:b w:val="1"/>
          <w:bCs w:val="1"/>
          <w:rtl w:val="0"/>
        </w:rPr>
        <w:t xml:space="preserve">"Sealed."</w:t>
      </w:r>
      <w:r w:rsidDel="00000000" w:rsidR="00000000" w:rsidRPr="00000000">
        <w:rPr>
          <w:rtl w:val="0"/>
        </w:rPr>
        <w:t xml:space="preserve">  The audit confirms that the transition to pure differential geometry, the achievement of statistical saturation, and the deployment of entropy-neutral thermodynamic guards are complete. The definitive scientific documentation and the "V4.4.4 Audit Lock" are registered under  </w:t>
      </w:r>
      <w:r w:rsidDel="00000000" w:rsidR="00000000" w:rsidRPr="00000000">
        <w:rPr>
          <w:b w:val="1"/>
          <w:bCs w:val="1"/>
          <w:rtl w:val="0"/>
        </w:rPr>
        <w:t xml:space="preserve">DOI: 10.5281/zenodo.19761019</w:t>
      </w:r>
      <w:r w:rsidDel="00000000" w:rsidR="00000000" w:rsidRPr="00000000">
        <w:rPr>
          <w:rtl w:val="0"/>
        </w:rPr>
        <w:t xml:space="preserve"> .</w:t>
      </w:r>
      <w:r w:rsidDel="00000000" w:rsidR="00000000" w:rsidRPr="00000000">
        <w:rPr>
          <w:b w:val="1"/>
          <w:bCs w:val="1"/>
          <w:rtl w:val="0"/>
        </w:rPr>
        <w:t xml:space="preserve">Final Status Checklist:</w:t>
      </w:r>
    </w:p>
    <w:p w:rsidR="00000000" w:rsidDel="00000000" w:rsidP="00000000" w:rsidRDefault="00000000" w:rsidRPr="00000000" w14:paraId="00000013">
      <w:pPr>
        <w:numPr>
          <w:ilvl w:val="0"/>
          <w:numId w:val="3"/>
        </w:numPr>
        <w:ind w:left="720" w:hanging="360"/>
        <w:rPr>
          <w:b w:val="1"/>
          <w:bCs w:val="1"/>
          <w:u w:val="none"/>
        </w:rPr>
      </w:pPr>
      <w:r w:rsidDel="00000000" w:rsidR="00000000" w:rsidRPr="00000000">
        <w:rPr>
          <w:b w:val="1"/>
          <w:bCs w:val="1"/>
          <w:rtl w:val="0"/>
        </w:rPr>
        <w:t xml:space="preserve">GEOMETRIC_CONTINUUM_SATURATED</w:t>
      </w:r>
    </w:p>
    <w:p w:rsidR="00000000" w:rsidDel="00000000" w:rsidP="00000000" w:rsidRDefault="00000000" w:rsidRPr="00000000" w14:paraId="00000014">
      <w:pPr>
        <w:numPr>
          <w:ilvl w:val="0"/>
          <w:numId w:val="3"/>
        </w:numPr>
        <w:ind w:left="720" w:hanging="360"/>
        <w:rPr>
          <w:b w:val="1"/>
          <w:bCs w:val="1"/>
        </w:rPr>
      </w:pPr>
      <w:r w:rsidDel="00000000" w:rsidR="00000000" w:rsidRPr="00000000">
        <w:rPr>
          <w:b w:val="1"/>
          <w:bCs w:val="1"/>
          <w:rtl w:val="0"/>
        </w:rPr>
        <w:t xml:space="preserve">STATISTICAL_CERTAINTY_7.8_SIGMA</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Fira Mono" w:cs="Fira Mono" w:eastAsia="Fira Mono" w:hAnsi="Fira Mono"/>
          <w:b w:val="1"/>
          <w:bCs w:val="1"/>
          <w:rtl w:val="0"/>
        </w:rPr>
        <w:t xml:space="preserve">V4.4.4 SEALEDSYSTEM-STATUS: GEOMETRIC_CONTINUUM_SATURATED | STATISTICAL_CERTAINTY_7.8_SIGMA | V4.4.4 SEALED. Checkmate. ⬢</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