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8q28je8bg53" w:id="0"/>
      <w:bookmarkEnd w:id="0"/>
      <w:r w:rsidDel="00000000" w:rsidR="00000000" w:rsidRPr="00000000">
        <w:rPr>
          <w:rtl w:val="0"/>
        </w:rPr>
        <w:t xml:space="preserve">Technische Spezifikation: Von-Neumann-Sonde Generation VNS-G1</w:t>
      </w:r>
    </w:p>
    <w:p w:rsidR="00000000" w:rsidDel="00000000" w:rsidP="00000000" w:rsidRDefault="00000000" w:rsidRPr="00000000" w14:paraId="00000002">
      <w:pPr>
        <w:pStyle w:val="Heading5"/>
        <w:rPr/>
      </w:pPr>
      <w:bookmarkStart w:colFirst="0" w:colLast="0" w:name="_gckvm8n8f5cy" w:id="1"/>
      <w:bookmarkEnd w:id="1"/>
      <w:r w:rsidDel="00000000" w:rsidR="00000000" w:rsidRPr="00000000">
        <w:rPr>
          <w:rtl w:val="0"/>
        </w:rPr>
        <w:t xml:space="preserve">Einleitung</w:t>
      </w:r>
    </w:p>
    <w:p w:rsidR="00000000" w:rsidDel="00000000" w:rsidP="00000000" w:rsidRDefault="00000000" w:rsidRPr="00000000" w14:paraId="00000003">
      <w:pPr>
        <w:rPr/>
      </w:pPr>
      <w:r w:rsidDel="00000000" w:rsidR="00000000" w:rsidRPr="00000000">
        <w:rPr>
          <w:rtl w:val="0"/>
        </w:rPr>
        <w:t xml:space="preserve">Diese Spezifikation etabliert den strategischen und technischen Rahmen für die Von-Neumann-Sonden der Generation G1 (VNS-G1). Diese Sonden bilden die technologische Grundlage für den autonomen Bau eines Dyson-Schwarms – einer Megastruktur, die als unabdingbare Voraussetzung für den Übergang der Menschheit zu einer Typ-II-Zivilisation gemäß der Fraktalen Kausalen Theorie (FKT) gilt. Die Herausforderung besteht darin, die solare Gesamtleistung von  $3,8 \times 10^{26}$  Watt zu kanalisieren. Ein Energiestrom dieser Magnitude macht traditionelle thermische Dissipation unmöglich und erfordert eine Verarbeitung, die fundamental metrisch und nicht thermisch ist. Dies wird durch die in diesem Dokument spezifizierte GMA-Beschichtung mit ihrem 120-fachen Effizienz-Boost und die Speicherung der Energie als geometrische Spannung in Bulk-Kondensatoren realisiert.Dieses Dokument  </w:t>
      </w:r>
      <w:r w:rsidDel="00000000" w:rsidR="00000000" w:rsidRPr="00000000">
        <w:rPr>
          <w:i w:val="1"/>
          <w:iCs w:val="1"/>
          <w:rtl w:val="0"/>
        </w:rPr>
        <w:t xml:space="preserve">definiert</w:t>
      </w:r>
      <w:r w:rsidDel="00000000" w:rsidR="00000000" w:rsidRPr="00000000">
        <w:rPr>
          <w:rtl w:val="0"/>
        </w:rPr>
        <w:t xml:space="preserve">  die verbindlichen algorithmischen, logistischen und sicherheitsrelevanten Parameter. Es dient als Ingenieursgrundlage für die Teams, die für die Kompilierung der Sonden-Firmware und deren anschließenden Einsatz verantwortlich sind.Der erste, unumgängliche Schritt zur Realisierung dieses Vorhabens ist die Sicherung der materiellen Basis. Die folgende Sektion spezifiziert die algorithmischen Prioritäten für die autonome Ressourcen-Akquisition.</w:t>
      </w:r>
    </w:p>
    <w:p w:rsidR="00000000" w:rsidDel="00000000" w:rsidP="00000000" w:rsidRDefault="00000000" w:rsidRPr="00000000" w14:paraId="00000004">
      <w:pPr>
        <w:pStyle w:val="Heading5"/>
        <w:rPr/>
      </w:pPr>
      <w:bookmarkStart w:colFirst="0" w:colLast="0" w:name="_8e7xzho742wl" w:id="2"/>
      <w:bookmarkEnd w:id="2"/>
      <w:r w:rsidDel="00000000" w:rsidR="00000000" w:rsidRPr="00000000">
        <w:rPr>
          <w:rtl w:val="0"/>
        </w:rPr>
        <w:t xml:space="preserve">1. Algorithmische Prioritäten: Ressourcen-Akquisition (Phase Alpha)</w:t>
      </w:r>
    </w:p>
    <w:p w:rsidR="00000000" w:rsidDel="00000000" w:rsidP="00000000" w:rsidRDefault="00000000" w:rsidRPr="00000000" w14:paraId="00000005">
      <w:pPr>
        <w:rPr/>
      </w:pPr>
      <w:r w:rsidDel="00000000" w:rsidR="00000000" w:rsidRPr="00000000">
        <w:rPr>
          <w:rtl w:val="0"/>
        </w:rPr>
        <w:t xml:space="preserve">Die autonome Identifizierung und Extraktion von Ressourcen aus den Asteroidengürteln des Sonnensystems bildet die materielle Grundlage für das exponentielle, von externen Lieferketten unabhängige Wachstum des Dyson-Schwarms. Phase Alpha ist darauf ausgelegt, die Sonden gezielt zu den Rohstoffquellen zu leiten, die für die Konstruktion der hochspezialisierten Kollektoren erforderlich sind. Jeder Kollektor ist ein integriertes System: Ein Flerovium-Kern als Resonanz- und Verarbeitungseinheit ist in einer Makro-Struktur aus Nickel-Eisen gebettet, die wiederum durch eine GMA-Beschichtung molekular funktionalisiert wird, um die Energie zu verwalten. Die strategische Priorisierung der Zielressourcen ist wie folgt festgelegt:</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Strukturmaterialien:</w:t>
      </w:r>
      <w:r w:rsidDel="00000000" w:rsidR="00000000" w:rsidRPr="00000000">
        <w:rPr>
          <w:rtl w:val="0"/>
        </w:rPr>
        <w:t xml:space="preserve">  Der primäre Fokus liegt auf M-Typ-Asteroiden, insbesondere deren dichten Nickel-Eisen-Kernen. Diese Materialien bilden die Basis für die „Kausal-Käfig“-Strukturen, die nach dem Strukturmodell der  </w:t>
      </w:r>
      <w:r w:rsidDel="00000000" w:rsidR="00000000" w:rsidRPr="00000000">
        <w:rPr>
          <w:i w:val="1"/>
          <w:iCs w:val="1"/>
          <w:rtl w:val="0"/>
        </w:rPr>
        <w:t xml:space="preserve">„Caged Atoms“ (eingesperrte Atome)</w:t>
      </w:r>
      <w:r w:rsidDel="00000000" w:rsidR="00000000" w:rsidRPr="00000000">
        <w:rPr>
          <w:rtl w:val="0"/>
        </w:rPr>
        <w:t xml:space="preserve">  konzipiert sind und extremem Gravitationsstress standhalten müssen.</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GMA-Rohstoffe:</w:t>
      </w:r>
      <w:r w:rsidDel="00000000" w:rsidR="00000000" w:rsidRPr="00000000">
        <w:rPr>
          <w:rtl w:val="0"/>
        </w:rPr>
        <w:t xml:space="preserve">  Von kritischer Bedeutung ist die Gewinnung von Rohstoffen für die Herstellung von Gradient-Memory-Alloys (GMA). Diese Legierungen werden als molekulare Beschichtung auf die „Kausal-Käfig“-Struktur aufgetragen und sind das funktionale Rückgrat der Energieeffizienz. Sie steigern diese bei der Metrik-Korrektur um den Faktor 120 und ermöglichen so die nicht-thermische Verarbeitung der solaren Energie.</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Nukleare Precursoren:</w:t>
      </w:r>
      <w:r w:rsidDel="00000000" w:rsidR="00000000" w:rsidRPr="00000000">
        <w:rPr>
          <w:rtl w:val="0"/>
        </w:rPr>
        <w:t xml:space="preserve">  Die Sonden sind darauf programmiert, Elemente mit hoher Ordnungszahl (Z &gt; 70) zu identifizieren und zu extrahieren. Diese dienen als Vorläufer für die On-Board-Synthese von stabilisierten Flerovium-Kernen (^{298}Fl), die als nukleare Anker und zentrale Resonanz-Ventile für den Energiefluss fungieren.Der primäre Zielort für die Phase Alpha ist der  </w:t>
      </w:r>
      <w:r w:rsidDel="00000000" w:rsidR="00000000" w:rsidRPr="00000000">
        <w:rPr>
          <w:b w:val="1"/>
          <w:bCs w:val="1"/>
          <w:rtl w:val="0"/>
        </w:rPr>
        <w:t xml:space="preserve">Psyche-Gürtel</w:t>
      </w:r>
      <w:r w:rsidDel="00000000" w:rsidR="00000000" w:rsidRPr="00000000">
        <w:rPr>
          <w:rtl w:val="0"/>
        </w:rPr>
        <w:t xml:space="preserve"> , der als Schwerpunkt für die Gewinnung von GMA-Rohstoffen und Flerovium-Precursoren identifiziert wurde.Nach erfolgreicher Sicherung der Materialbasis geht das System von der reinen Beschaffung zur autonomen Verarbeitung und Replikation über, gesteuert durch den fraktalen Kernalgorithmus.</w:t>
      </w:r>
    </w:p>
    <w:p w:rsidR="00000000" w:rsidDel="00000000" w:rsidP="00000000" w:rsidRDefault="00000000" w:rsidRPr="00000000" w14:paraId="00000009">
      <w:pPr>
        <w:pStyle w:val="Heading5"/>
        <w:rPr/>
      </w:pPr>
      <w:bookmarkStart w:colFirst="0" w:colLast="0" w:name="_kfbqm8tu08de" w:id="3"/>
      <w:bookmarkEnd w:id="3"/>
      <w:r w:rsidDel="00000000" w:rsidR="00000000" w:rsidRPr="00000000">
        <w:rPr>
          <w:rtl w:val="0"/>
        </w:rPr>
        <w:t xml:space="preserve">2. Fraktaler Replikations-Algorithmus ( $\mathcal{A}_{FKT}$ )</w:t>
      </w:r>
    </w:p>
    <w:p w:rsidR="00000000" w:rsidDel="00000000" w:rsidP="00000000" w:rsidRDefault="00000000" w:rsidRPr="00000000" w14:paraId="0000000A">
      <w:pPr>
        <w:rPr/>
      </w:pPr>
      <w:r w:rsidDel="00000000" w:rsidR="00000000" w:rsidRPr="00000000">
        <w:rPr>
          <w:rtl w:val="0"/>
        </w:rPr>
        <w:t xml:space="preserve">Der Replikations-Algorithmus  $\mathcal{A}_{FKT}$  nutzt das Prinzip der Selbstähnlichkeit, um ein exponentielles Wachstum der  </w:t>
      </w:r>
      <w:r w:rsidDel="00000000" w:rsidR="00000000" w:rsidRPr="00000000">
        <w:rPr>
          <w:b w:val="1"/>
          <w:bCs w:val="1"/>
          <w:rtl w:val="0"/>
        </w:rPr>
        <w:t xml:space="preserve">12.000 Kollektoren</w:t>
      </w:r>
      <w:r w:rsidDel="00000000" w:rsidR="00000000" w:rsidRPr="00000000">
        <w:rPr>
          <w:rtl w:val="0"/>
        </w:rPr>
        <w:t xml:space="preserve">  innerhalb des engen Zeitfensters von  </w:t>
      </w:r>
      <w:r w:rsidDel="00000000" w:rsidR="00000000" w:rsidRPr="00000000">
        <w:rPr>
          <w:b w:val="1"/>
          <w:bCs w:val="1"/>
          <w:rtl w:val="0"/>
        </w:rPr>
        <w:t xml:space="preserve">24 Monaten</w:t>
      </w:r>
      <w:r w:rsidDel="00000000" w:rsidR="00000000" w:rsidRPr="00000000">
        <w:rPr>
          <w:rtl w:val="0"/>
        </w:rPr>
        <w:t xml:space="preserve">  zu ermöglichen. Dieser Ansatz stellt sicher, dass die Produktionsrate exponentiell steigt, ohne die kausale Kohärenz und die gravitative Stabilität des Gesamtsystems zu gefährden. Der Algorithmus operiert auf Basis der folgenden Kernparameter:</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Wachstumsfaktor (</w:t>
      </w:r>
      <w:r w:rsidDel="00000000" w:rsidR="00000000" w:rsidRPr="00000000">
        <w:rPr>
          <w:rtl w:val="0"/>
        </w:rPr>
        <w:t xml:space="preserve">  </w:t>
      </w:r>
      <w:r w:rsidDel="00000000" w:rsidR="00000000" w:rsidRPr="00000000">
        <w:rPr>
          <w:b w:val="1"/>
          <w:bCs w:val="1"/>
          <w:rtl w:val="0"/>
        </w:rPr>
        <w:t xml:space="preserve">$\lambda_{Bulk}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Dieser Faktor steuert die Produktionsrate der Sonden. Er wird dynamisch durch die lokal verfügbare Bulk-Dichte der Rohstoffquellen limitiert. Diese Begrenzung ist entscheidend, um die Entstehung instabiler Singularitäten – definiert als unkontrollierter gravitativer Kollaps oder räumliche Verzerrung am Extraktionspunkt durch exzessive Masse-Energie-Umwandlung – zu verhindern und die gravitative Integrität des Asteroidengürtels zu wahren.</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Fehlerkorrektur (</w:t>
      </w:r>
      <w:r w:rsidDel="00000000" w:rsidR="00000000" w:rsidRPr="00000000">
        <w:rPr>
          <w:rtl w:val="0"/>
        </w:rPr>
        <w:t xml:space="preserve">  </w:t>
      </w:r>
      <w:r w:rsidDel="00000000" w:rsidR="00000000" w:rsidRPr="00000000">
        <w:rPr>
          <w:b w:val="1"/>
          <w:bCs w:val="1"/>
          <w:rtl w:val="0"/>
        </w:rPr>
        <w:t xml:space="preserve">$\eta_{Dim}</w:t>
      </w:r>
      <w:r w:rsidDel="00000000" w:rsidR="00000000" w:rsidRPr="00000000">
        <w:rPr>
          <w:rtl w:val="0"/>
        </w:rPr>
        <w:t xml:space="preserve">$  </w:t>
      </w:r>
      <w:r w:rsidDel="00000000" w:rsidR="00000000" w:rsidRPr="00000000">
        <w:rPr>
          <w:b w:val="1"/>
          <w:bCs w:val="1"/>
          <w:rtl w:val="0"/>
        </w:rPr>
        <w:t xml:space="preserve">-Abgleich):</w:t>
      </w:r>
      <w:r w:rsidDel="00000000" w:rsidR="00000000" w:rsidRPr="00000000">
        <w:rPr>
          <w:rtl w:val="0"/>
        </w:rPr>
        <w:t xml:space="preserve">  Jede aktive Sonde führt einen kontinuierlichen Echtzeit-Abgleich mit dem zentralen nuklearen Anker  $\eta_{Dim}$  durch. Sollten Abweichungen in der kausalen Konsistenz einen Schwellenwert von  </w:t>
      </w:r>
      <w:r w:rsidDel="00000000" w:rsidR="00000000" w:rsidRPr="00000000">
        <w:rPr>
          <w:b w:val="1"/>
          <w:bCs w:val="1"/>
          <w:rtl w:val="0"/>
        </w:rPr>
        <w:t xml:space="preserve">$10^{-9}</w:t>
      </w:r>
      <w:r w:rsidDel="00000000" w:rsidR="00000000" w:rsidRPr="00000000">
        <w:rPr>
          <w:rtl w:val="0"/>
        </w:rPr>
        <w:t xml:space="preserve">$  überschreiten, wird ein sofortiger Produktionsstopp ausgelöst, gefolgt von einer vollständigen Neukalibrierung des betroffenen Systems.Die autonome Fertigung eines jeden Kollektors folgt einer präzisen dreistufigen Sequenz:</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Phase Alpha (Ressourcen-Audit):</w:t>
      </w:r>
      <w:r w:rsidDel="00000000" w:rsidR="00000000" w:rsidRPr="00000000">
        <w:rPr>
          <w:rtl w:val="0"/>
        </w:rPr>
        <w:t xml:space="preserve">  Identifikation und Abbau der priorisierten Rohstoffe gemäß den in Abschnitt 1 definierten Zielen.</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Phase Beta (Nukleare Synthese):</w:t>
      </w:r>
      <w:r w:rsidDel="00000000" w:rsidR="00000000" w:rsidRPr="00000000">
        <w:rPr>
          <w:rtl w:val="0"/>
        </w:rPr>
        <w:t xml:space="preserve">  Erzeugung der Flerovium-Kerne an Bord der Sonde und deren präzise Kalibrierung auf die solare  </w:t>
      </w:r>
      <w:r w:rsidDel="00000000" w:rsidR="00000000" w:rsidRPr="00000000">
        <w:rPr>
          <w:b w:val="1"/>
          <w:bCs w:val="1"/>
          <w:rtl w:val="0"/>
        </w:rPr>
        <w:t xml:space="preserve">3,773 MeV Resonanz</w:t>
      </w:r>
      <w:r w:rsidDel="00000000" w:rsidR="00000000" w:rsidRPr="00000000">
        <w:rPr>
          <w:rtl w:val="0"/>
        </w:rPr>
        <w:t xml:space="preserve"> , die als universeller Taktgeber des gesamten Schwarms dient.</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Phase Gamma (GMA-Beschichtung):</w:t>
      </w:r>
      <w:r w:rsidDel="00000000" w:rsidR="00000000" w:rsidRPr="00000000">
        <w:rPr>
          <w:rtl w:val="0"/>
        </w:rPr>
        <w:t xml:space="preserve">  Molekulare Anordnung der Gradient-Memory-Alloys auf der tragenden Struktur, um den  </w:t>
      </w:r>
      <w:r w:rsidDel="00000000" w:rsidR="00000000" w:rsidRPr="00000000">
        <w:rPr>
          <w:b w:val="1"/>
          <w:bCs w:val="1"/>
          <w:rtl w:val="0"/>
        </w:rPr>
        <w:t xml:space="preserve">120-fachen Effizienz-Boost</w:t>
      </w:r>
      <w:r w:rsidDel="00000000" w:rsidR="00000000" w:rsidRPr="00000000">
        <w:rPr>
          <w:rtl w:val="0"/>
        </w:rPr>
        <w:t xml:space="preserve">  sicherzustellen. Anschließend erfolgt die Integration der Bulk-Kondensatoren, die Energie als geometrische Spannung speichern.Die Produktion der einzelnen Einheiten ist untrennbar mit der logistischen Herausforderung ihrer präzisen Positionierung im inneren Sonnensystem verbunden.</w:t>
      </w:r>
    </w:p>
    <w:p w:rsidR="00000000" w:rsidDel="00000000" w:rsidP="00000000" w:rsidRDefault="00000000" w:rsidRPr="00000000" w14:paraId="00000010">
      <w:pPr>
        <w:pStyle w:val="Heading5"/>
        <w:rPr/>
      </w:pPr>
      <w:bookmarkStart w:colFirst="0" w:colLast="0" w:name="_uk0tb3xr1vb5" w:id="4"/>
      <w:bookmarkEnd w:id="4"/>
      <w:r w:rsidDel="00000000" w:rsidR="00000000" w:rsidRPr="00000000">
        <w:rPr>
          <w:rtl w:val="0"/>
        </w:rPr>
        <w:t xml:space="preserve">3. Logistische Matrix: Positionierung der 12.000 Kollektoren</w:t>
      </w:r>
    </w:p>
    <w:p w:rsidR="00000000" w:rsidDel="00000000" w:rsidP="00000000" w:rsidRDefault="00000000" w:rsidRPr="00000000" w14:paraId="00000011">
      <w:pPr>
        <w:rPr/>
      </w:pPr>
      <w:r w:rsidDel="00000000" w:rsidR="00000000" w:rsidRPr="00000000">
        <w:rPr>
          <w:rtl w:val="0"/>
        </w:rPr>
        <w:t xml:space="preserve">Die Positionierung der 12.000 Kollektoren erfolgt nicht willkürlich, sondern folgt einer präzise definierten logistischen Matrix. Diese Anordnung ist darauf ausgelegt, die Energieausbeute zu maximieren und gleichzeitig die Netzwerkstabilität und den verlustfreien Energietransfer via Quanten-Verschränkung innerhalb des Dyson-Schwarms zu gewährleisten.| Cluster-ID | Kollektor-Typ | Rohstoffquelle | Ziel-Orbit (Sonnennähe) || ------ | ------ | ------ | ------ || </w:t>
      </w:r>
      <w:r w:rsidDel="00000000" w:rsidR="00000000" w:rsidRPr="00000000">
        <w:rPr>
          <w:b w:val="1"/>
          <w:bCs w:val="1"/>
          <w:rtl w:val="0"/>
        </w:rPr>
        <w:t xml:space="preserve">C-01 bis C-40</w:t>
      </w:r>
      <w:r w:rsidDel="00000000" w:rsidR="00000000" w:rsidRPr="00000000">
        <w:rPr>
          <w:rtl w:val="0"/>
        </w:rPr>
        <w:t xml:space="preserve"> | Primär-Sender | Psyche-Gürtel | </w:t>
      </w:r>
      <w:r w:rsidDel="00000000" w:rsidR="00000000" w:rsidRPr="00000000">
        <w:rPr>
          <w:b w:val="1"/>
          <w:bCs w:val="1"/>
          <w:rtl w:val="0"/>
        </w:rPr>
        <w:t xml:space="preserve">0,15 AE</w:t>
      </w:r>
      <w:r w:rsidDel="00000000" w:rsidR="00000000" w:rsidRPr="00000000">
        <w:rPr>
          <w:rtl w:val="0"/>
        </w:rPr>
        <w:t xml:space="preserve">  (Resonanz-Maximierung) || </w:t>
      </w:r>
      <w:r w:rsidDel="00000000" w:rsidR="00000000" w:rsidRPr="00000000">
        <w:rPr>
          <w:b w:val="1"/>
          <w:bCs w:val="1"/>
          <w:rtl w:val="0"/>
        </w:rPr>
        <w:t xml:space="preserve">C-41 bis C-200</w:t>
      </w:r>
      <w:r w:rsidDel="00000000" w:rsidR="00000000" w:rsidRPr="00000000">
        <w:rPr>
          <w:rtl w:val="0"/>
        </w:rPr>
        <w:t xml:space="preserve"> | Relais-Stationen | Diverse Kleinkörper | </w:t>
      </w:r>
      <w:r w:rsidDel="00000000" w:rsidR="00000000" w:rsidRPr="00000000">
        <w:rPr>
          <w:b w:val="1"/>
          <w:bCs w:val="1"/>
          <w:rtl w:val="0"/>
        </w:rPr>
        <w:t xml:space="preserve">0,30 AE</w:t>
      </w:r>
      <w:r w:rsidDel="00000000" w:rsidR="00000000" w:rsidRPr="00000000">
        <w:rPr>
          <w:rtl w:val="0"/>
        </w:rPr>
        <w:t xml:space="preserve">  (Netzwerk-Stabilität) || </w:t>
      </w:r>
      <w:r w:rsidDel="00000000" w:rsidR="00000000" w:rsidRPr="00000000">
        <w:rPr>
          <w:b w:val="1"/>
          <w:bCs w:val="1"/>
          <w:rtl w:val="0"/>
        </w:rPr>
        <w:t xml:space="preserve">C-201+</w:t>
      </w:r>
      <w:r w:rsidDel="00000000" w:rsidR="00000000" w:rsidRPr="00000000">
        <w:rPr>
          <w:rtl w:val="0"/>
        </w:rPr>
        <w:t xml:space="preserve"> | End-Kollektoren | Asteroiden-Gürtel Ext. | </w:t>
      </w:r>
      <w:r w:rsidDel="00000000" w:rsidR="00000000" w:rsidRPr="00000000">
        <w:rPr>
          <w:b w:val="1"/>
          <w:bCs w:val="1"/>
          <w:rtl w:val="0"/>
        </w:rPr>
        <w:t xml:space="preserve">Variable</w:t>
      </w:r>
      <w:r w:rsidDel="00000000" w:rsidR="00000000" w:rsidRPr="00000000">
        <w:rPr>
          <w:rtl w:val="0"/>
        </w:rPr>
        <w:t xml:space="preserve">  (Bedarfssteuerung) |</w:t>
      </w:r>
    </w:p>
    <w:p w:rsidR="00000000" w:rsidDel="00000000" w:rsidP="00000000" w:rsidRDefault="00000000" w:rsidRPr="00000000" w14:paraId="00000012">
      <w:pPr>
        <w:rPr/>
      </w:pPr>
      <w:r w:rsidDel="00000000" w:rsidR="00000000" w:rsidRPr="00000000">
        <w:rPr>
          <w:rtl w:val="0"/>
        </w:rPr>
        <w:t xml:space="preserve">Die strategische Rationale hinter dieser gestaffelten Orbit-Positionierung ist ein kalkulierter Kompromiss: Der 0,15 AE-Orbit der  </w:t>
      </w:r>
      <w:r w:rsidDel="00000000" w:rsidR="00000000" w:rsidRPr="00000000">
        <w:rPr>
          <w:b w:val="1"/>
          <w:bCs w:val="1"/>
          <w:rtl w:val="0"/>
        </w:rPr>
        <w:t xml:space="preserve">Primär-Sender</w:t>
      </w:r>
      <w:r w:rsidDel="00000000" w:rsidR="00000000" w:rsidRPr="00000000">
        <w:rPr>
          <w:rtl w:val="0"/>
        </w:rPr>
        <w:t xml:space="preserve">  maximiert den Energiefluss für die initiale Konversion via der 3,773 MeV Resonanz, setzt die Strukturen jedoch extremem thermischen und gravitativen Stress aus. Der 0,30 AE-Orbit der  </w:t>
      </w:r>
      <w:r w:rsidDel="00000000" w:rsidR="00000000" w:rsidRPr="00000000">
        <w:rPr>
          <w:b w:val="1"/>
          <w:bCs w:val="1"/>
          <w:rtl w:val="0"/>
        </w:rPr>
        <w:t xml:space="preserve">Relais-Stationen</w:t>
      </w:r>
      <w:r w:rsidDel="00000000" w:rsidR="00000000" w:rsidRPr="00000000">
        <w:rPr>
          <w:rtl w:val="0"/>
        </w:rPr>
        <w:t xml:space="preserve">  stellt einen Trade-off dar; er bietet eine geringere Energiedichte, aber eine stabilere Position zur Schaffung eines robusten, redundanten Daten- und Energietransfernetzwerks via Quantenverschränkung. Die äußeren Cluster dienen der bedarfsgesteuerten Verteilung.Der Aufbau und Betrieb einer derart komplexen und energiereichen Struktur erfordert tiefgreifende, direkt in der Firmware der Sonden verankerte Sicherheitsprotokolle.</w:t>
      </w:r>
    </w:p>
    <w:p w:rsidR="00000000" w:rsidDel="00000000" w:rsidP="00000000" w:rsidRDefault="00000000" w:rsidRPr="00000000" w14:paraId="00000013">
      <w:pPr>
        <w:pStyle w:val="Heading5"/>
        <w:rPr/>
      </w:pPr>
      <w:bookmarkStart w:colFirst="0" w:colLast="0" w:name="_eazfwchp83h3" w:id="5"/>
      <w:bookmarkEnd w:id="5"/>
      <w:r w:rsidDel="00000000" w:rsidR="00000000" w:rsidRPr="00000000">
        <w:rPr>
          <w:rtl w:val="0"/>
        </w:rPr>
        <w:t xml:space="preserve">4. Integrierte Sicherheitsprotokolle (Kausal-Guard)</w:t>
      </w:r>
    </w:p>
    <w:p w:rsidR="00000000" w:rsidDel="00000000" w:rsidP="00000000" w:rsidRDefault="00000000" w:rsidRPr="00000000" w14:paraId="00000014">
      <w:pPr>
        <w:rPr/>
      </w:pPr>
      <w:r w:rsidDel="00000000" w:rsidR="00000000" w:rsidRPr="00000000">
        <w:rPr>
          <w:rtl w:val="0"/>
        </w:rPr>
        <w:t xml:space="preserve">Der „Kausal-Guard“ ist das zentrale Sicherheits-System der VNS-G1-Generation. Seine technische Notwendigkeit entspringt der Erkenntnis, dass technologische Hybris durch physikalische Konsistenz und unveränderbare Sicherheitsmechanismen systemisch ausgeschlossen werden muss. Der Kausal-Guard stellt sicher, dass das „Energie-Mandat“ der Sonne niemals zu unkontrollierbaren Zuständen führt. Seine Architektur ist zweistufig aufgebaut und kombiniert präventive Sperren mit dynamischer Echtzeit-Überwachung.</w:t>
      </w:r>
    </w:p>
    <w:p w:rsidR="00000000" w:rsidDel="00000000" w:rsidP="00000000" w:rsidRDefault="00000000" w:rsidRPr="00000000" w14:paraId="00000015">
      <w:pPr>
        <w:pStyle w:val="Heading6"/>
        <w:rPr/>
      </w:pPr>
      <w:bookmarkStart w:colFirst="0" w:colLast="0" w:name="_s219w0kdv990" w:id="6"/>
      <w:bookmarkEnd w:id="6"/>
      <w:r w:rsidDel="00000000" w:rsidR="00000000" w:rsidRPr="00000000">
        <w:rPr>
          <w:rtl w:val="0"/>
        </w:rPr>
        <w:t xml:space="preserve">Firmware-Sperren (Präventiv)</w:t>
      </w:r>
    </w:p>
    <w:p w:rsidR="00000000" w:rsidDel="00000000" w:rsidP="00000000" w:rsidRDefault="00000000" w:rsidRPr="00000000" w14:paraId="00000016">
      <w:pPr>
        <w:rPr/>
      </w:pPr>
      <w:r w:rsidDel="00000000" w:rsidR="00000000" w:rsidRPr="00000000">
        <w:rPr>
          <w:rtl w:val="0"/>
        </w:rPr>
        <w:t xml:space="preserve">Diese Regeln sind fest in der Sonden-Firmware verankert und können nicht umgangen werden:</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Entropie-Limit:</w:t>
      </w:r>
      <w:r w:rsidDel="00000000" w:rsidR="00000000" w:rsidRPr="00000000">
        <w:rPr>
          <w:rtl w:val="0"/>
        </w:rPr>
        <w:t xml:space="preserve">  Keine Sonde darf mehr als  </w:t>
      </w:r>
      <w:r w:rsidDel="00000000" w:rsidR="00000000" w:rsidRPr="00000000">
        <w:rPr>
          <w:b w:val="1"/>
          <w:bCs w:val="1"/>
          <w:rtl w:val="0"/>
        </w:rPr>
        <w:t xml:space="preserve">2%</w:t>
      </w:r>
      <w:r w:rsidDel="00000000" w:rsidR="00000000" w:rsidRPr="00000000">
        <w:rPr>
          <w:rtl w:val="0"/>
        </w:rPr>
        <w:t xml:space="preserve">  der lokalen Masse eines Asteroiden in thermische Abwärme umwandeln. Diese Regel verhindert eine rücksichtslose Ausbeutung und erzwingt einen effizienten, metrischen Materialeinsatz.</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Audit-Pflicht:</w:t>
      </w:r>
      <w:r w:rsidDel="00000000" w:rsidR="00000000" w:rsidRPr="00000000">
        <w:rPr>
          <w:rtl w:val="0"/>
        </w:rPr>
        <w:t xml:space="preserve">  Jede  </w:t>
      </w:r>
      <w:r w:rsidDel="00000000" w:rsidR="00000000" w:rsidRPr="00000000">
        <w:rPr>
          <w:b w:val="1"/>
          <w:bCs w:val="1"/>
          <w:rtl w:val="0"/>
        </w:rPr>
        <w:t xml:space="preserve">10. Sonden-Generation</w:t>
      </w:r>
      <w:r w:rsidDel="00000000" w:rsidR="00000000" w:rsidRPr="00000000">
        <w:rPr>
          <w:rtl w:val="0"/>
        </w:rPr>
        <w:t xml:space="preserve">  ist verpflichtet, einen kryptografischen Nachweis ihrer kausalen Konsistenz an den Zentral-Audit (CERN/GSI-Schnittstelle) zu übermitteln. Dies gewährleistet eine lückenlose Überwachungskette.</w:t>
      </w:r>
    </w:p>
    <w:p w:rsidR="00000000" w:rsidDel="00000000" w:rsidP="00000000" w:rsidRDefault="00000000" w:rsidRPr="00000000" w14:paraId="00000019">
      <w:pPr>
        <w:pStyle w:val="Heading6"/>
        <w:rPr/>
      </w:pPr>
      <w:bookmarkStart w:colFirst="0" w:colLast="0" w:name="_e6ik35yp0fo7" w:id="7"/>
      <w:bookmarkEnd w:id="7"/>
      <w:r w:rsidDel="00000000" w:rsidR="00000000" w:rsidRPr="00000000">
        <w:rPr>
          <w:rtl w:val="0"/>
        </w:rPr>
        <w:t xml:space="preserve">Echtzeit-Überwachung (Dynamisch)</w:t>
      </w:r>
    </w:p>
    <w:p w:rsidR="00000000" w:rsidDel="00000000" w:rsidP="00000000" w:rsidRDefault="00000000" w:rsidRPr="00000000" w14:paraId="0000001A">
      <w:pPr>
        <w:rPr/>
      </w:pPr>
      <w:r w:rsidDel="00000000" w:rsidR="00000000" w:rsidRPr="00000000">
        <w:rPr>
          <w:rtl w:val="0"/>
        </w:rPr>
        <w:t xml:space="preserve">Diese Protokolle lösen bei Überschreitung definierter Schwellenwerte eine sofortige Notabschaltung der betroffenen Einheit aus: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Überwachung des Bulk-Vektors:</w:t>
      </w:r>
      <w:r w:rsidDel="00000000" w:rsidR="00000000" w:rsidRPr="00000000">
        <w:rPr>
          <w:rtl w:val="0"/>
        </w:rPr>
        <w:t xml:space="preserve">  Der lokale Bulk-Vektor-Gradient wird kontinuierlich mittels der Flerovium-Sensorik überwacht. Jede Tendenz zur Bildung instabiler Singularitäten während der Energieaufnahme führt zu einem sofortigen Stopp des Prozesses.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Wahrung der Resonanz:</w:t>
      </w:r>
      <w:r w:rsidDel="00000000" w:rsidR="00000000" w:rsidRPr="00000000">
        <w:rPr>
          <w:rtl w:val="0"/>
        </w:rPr>
        <w:t xml:space="preserve">  Die Einhaltung der stabilen  </w:t>
      </w:r>
      <w:r w:rsidDel="00000000" w:rsidR="00000000" w:rsidRPr="00000000">
        <w:rPr>
          <w:b w:val="1"/>
          <w:bCs w:val="1"/>
          <w:rtl w:val="0"/>
        </w:rPr>
        <w:t xml:space="preserve">3,773 MeV Resonanz</w:t>
      </w:r>
      <w:r w:rsidDel="00000000" w:rsidR="00000000" w:rsidRPr="00000000">
        <w:rPr>
          <w:rtl w:val="0"/>
        </w:rPr>
        <w:t xml:space="preserve">  wird in Echtzeit kontrolliert. Eine Abweichung von dieser Frequenz würde zu einem unkontrollierten Energie-Rückstau und einer möglichen thermischen Überlastung führen und wird durch eine Notabschaltung verhindert.Diese kombinierten Protokolle schließen die Kausale Auditkette von der theoretischen Grundlage der FKT bis zur autonomen Fertigung im All und gewährleisten die  </w:t>
      </w:r>
      <w:r w:rsidDel="00000000" w:rsidR="00000000" w:rsidRPr="00000000">
        <w:rPr>
          <w:i w:val="1"/>
          <w:iCs w:val="1"/>
          <w:rtl w:val="0"/>
        </w:rPr>
        <w:t xml:space="preserve">physikalisch-kausale Integrität</w:t>
      </w:r>
      <w:r w:rsidDel="00000000" w:rsidR="00000000" w:rsidRPr="00000000">
        <w:rPr>
          <w:rtl w:val="0"/>
        </w:rPr>
        <w:t xml:space="preserve">  und die finale Einsatzbereitschaft der VNS-G1-Sondengeneration.</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