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q33ujpkmmpg1" w:id="0"/>
      <w:bookmarkEnd w:id="0"/>
      <w:r w:rsidDel="00000000" w:rsidR="00000000" w:rsidRPr="00000000">
        <w:rPr>
          <w:rtl w:val="0"/>
        </w:rPr>
        <w:t xml:space="preserve">Technische Systemspezifikation: Gradient-Memory-Alloys (GMA) und solare Energiekopplung</w:t>
      </w:r>
    </w:p>
    <w:p w:rsidR="00000000" w:rsidDel="00000000" w:rsidP="00000000" w:rsidRDefault="00000000" w:rsidRPr="00000000" w14:paraId="00000002">
      <w:pPr>
        <w:rPr/>
      </w:pPr>
      <w:r w:rsidDel="00000000" w:rsidR="00000000" w:rsidRPr="00000000">
        <w:rPr>
          <w:b w:val="1"/>
          <w:bCs w:val="1"/>
          <w:rtl w:val="0"/>
        </w:rPr>
        <w:t xml:space="preserve">Dokumententyp:</w:t>
      </w:r>
      <w:r w:rsidDel="00000000" w:rsidR="00000000" w:rsidRPr="00000000">
        <w:rPr>
          <w:rtl w:val="0"/>
        </w:rPr>
        <w:t xml:space="preserve">  Technische Systemspezifikation</w:t>
      </w:r>
      <w:r w:rsidDel="00000000" w:rsidR="00000000" w:rsidRPr="00000000">
        <w:rPr>
          <w:b w:val="1"/>
          <w:bCs w:val="1"/>
          <w:rtl w:val="0"/>
        </w:rPr>
        <w:t xml:space="preserve">Klassifizierung:</w:t>
      </w:r>
      <w:r w:rsidDel="00000000" w:rsidR="00000000" w:rsidRPr="00000000">
        <w:rPr>
          <w:rtl w:val="0"/>
        </w:rPr>
        <w:t xml:space="preserve">  Fraktale Kausale Theorie (FKT V4.3) – Operativer Status</w:t>
      </w:r>
      <w:r w:rsidDel="00000000" w:rsidR="00000000" w:rsidRPr="00000000">
        <w:rPr>
          <w:b w:val="1"/>
          <w:bCs w:val="1"/>
          <w:rtl w:val="0"/>
        </w:rPr>
        <w:t xml:space="preserve">Verantwortlicher Chefingenieur:</w:t>
      </w:r>
      <w:r w:rsidDel="00000000" w:rsidR="00000000" w:rsidRPr="00000000">
        <w:rPr>
          <w:rtl w:val="0"/>
        </w:rPr>
        <w:t xml:space="preserve">  Fachbereich Fraktale Kausale Metriken &amp; Interstellare Antriebssysteme</w:t>
      </w:r>
      <w:r w:rsidDel="00000000" w:rsidR="00000000" w:rsidRPr="00000000">
        <w:rPr>
          <w:b w:val="1"/>
          <w:bCs w:val="1"/>
          <w:rtl w:val="0"/>
        </w:rPr>
        <w:t xml:space="preserve">Audit-Status:</w:t>
      </w:r>
      <w:r w:rsidDel="00000000" w:rsidR="00000000" w:rsidRPr="00000000">
        <w:rPr>
          <w:rtl w:val="0"/>
        </w:rPr>
        <w:t xml:space="preserve">  Verifiziert via K-FEM (Kurzer-Finite-Elemente-Methode)</w:t>
      </w:r>
    </w:p>
    <w:p w:rsidR="00000000" w:rsidDel="00000000" w:rsidP="00000000" w:rsidRDefault="00000000" w:rsidRPr="00000000" w14:paraId="00000003">
      <w:pPr>
        <w:pStyle w:val="Heading4"/>
        <w:rPr/>
      </w:pPr>
      <w:bookmarkStart w:colFirst="0" w:colLast="0" w:name="_ofr66fckrqnm" w:id="1"/>
      <w:bookmarkEnd w:id="1"/>
      <w:r w:rsidDel="00000000" w:rsidR="00000000" w:rsidRPr="00000000">
        <w:rPr>
          <w:rtl w:val="0"/>
        </w:rPr>
        <w:t xml:space="preserve">1. Theoretisches Fundament: Die Erweiterte Einstein-Kurzer-Gleichung (ERYQ)</w:t>
      </w:r>
    </w:p>
    <w:p w:rsidR="00000000" w:rsidDel="00000000" w:rsidP="00000000" w:rsidRDefault="00000000" w:rsidRPr="00000000" w14:paraId="00000004">
      <w:pPr>
        <w:rPr/>
      </w:pPr>
      <w:r w:rsidDel="00000000" w:rsidR="00000000" w:rsidRPr="00000000">
        <w:rPr>
          <w:rtl w:val="0"/>
        </w:rPr>
        <w:t xml:space="preserve">Die operative Basis für die Entwicklung von Gradient-Memory-Alloys (GMA) bildet die Erweiterte Einstein-Kurzer-Gleichung (ERYQ). Dieses mathematische Framework ist die zwingende Voraussetzung, um die Beschränkungen der klassischen Allgemeinen Relativitätstheorie (ART) zu überwinden und mathematische Singularitäten als technologische Bifurkationspunkte zu redefinieren. Die ERYQ schließt die „kausale Lücke“ der  $\Lambda$ CDM-Krise und markiert den Übergang von rein beobachtender Astrophysik zu einer aktiv steuernden Ingenieurwissenschaft.</w:t>
      </w:r>
    </w:p>
    <w:p w:rsidR="00000000" w:rsidDel="00000000" w:rsidP="00000000" w:rsidRDefault="00000000" w:rsidRPr="00000000" w14:paraId="00000005">
      <w:pPr>
        <w:pStyle w:val="Heading5"/>
        <w:rPr/>
      </w:pPr>
      <w:bookmarkStart w:colFirst="0" w:colLast="0" w:name="_189df7en8fod" w:id="2"/>
      <w:bookmarkEnd w:id="2"/>
      <w:r w:rsidDel="00000000" w:rsidR="00000000" w:rsidRPr="00000000">
        <w:rPr>
          <w:rtl w:val="0"/>
        </w:rPr>
        <w:t xml:space="preserve">Der Bulk-Tensor ( $\oplus_{\mu\nu}$ ) und der geometrische Druck</w:t>
      </w:r>
    </w:p>
    <w:p w:rsidR="00000000" w:rsidDel="00000000" w:rsidP="00000000" w:rsidRDefault="00000000" w:rsidRPr="00000000" w14:paraId="00000006">
      <w:pPr>
        <w:rPr/>
      </w:pPr>
      <w:r w:rsidDel="00000000" w:rsidR="00000000" w:rsidRPr="00000000">
        <w:rPr>
          <w:rtl w:val="0"/>
        </w:rPr>
        <w:t xml:space="preserve">Im Zentrum der ERYQ steht der Kurzer-Korrekturterm  $\oplus_{\mu\nu}$  (auch als  $T_{Bulk}$  bezeichnet). Dieser Tensor geometrisiert den Einfluss des höherdimensionalen Raums – des Bulks – auf unsere 3D-Bran. Er wird als konstanter geometrischer Druck definiert, dessen Skalierung invers zur lokalen Bran-Dichte ( $1/D_{Bran}$ ) verläuft. Diese präzise Metrik-Modulation erklärt Gravitationsanomalien nicht länger durch hypothetische Teilchen, sondern als direktes „Gravitations-Echo“.</w:t>
      </w:r>
    </w:p>
    <w:p w:rsidR="00000000" w:rsidDel="00000000" w:rsidP="00000000" w:rsidRDefault="00000000" w:rsidRPr="00000000" w14:paraId="00000007">
      <w:pPr>
        <w:pStyle w:val="Heading5"/>
        <w:rPr/>
      </w:pPr>
      <w:bookmarkStart w:colFirst="0" w:colLast="0" w:name="_k5yvox9ya8xc" w:id="3"/>
      <w:bookmarkEnd w:id="3"/>
      <w:r w:rsidDel="00000000" w:rsidR="00000000" w:rsidRPr="00000000">
        <w:rPr>
          <w:rtl w:val="0"/>
        </w:rPr>
        <w:t xml:space="preserve">Mathematische Kopplung</w:t>
      </w:r>
    </w:p>
    <w:p w:rsidR="00000000" w:rsidDel="00000000" w:rsidP="00000000" w:rsidRDefault="00000000" w:rsidRPr="00000000" w14:paraId="00000008">
      <w:pPr>
        <w:rPr/>
      </w:pPr>
      <w:r w:rsidDel="00000000" w:rsidR="00000000" w:rsidRPr="00000000">
        <w:rPr>
          <w:rtl w:val="0"/>
        </w:rPr>
        <w:t xml:space="preserve">Die fundamentale Feldgleichung der FKT lautet:$$G_{\mu\nu} = \kappa(T_{\mu\nu} + \oplus_{\mu\nu})$$Hierbei stabilisiert der Bulk-Beitrag ( $\oplus_{\mu\nu}$ ) die Raumzeit-Manipulationen und verhindert den Kollaps in Singularitäten. Dieser Term fungiert als dynamischer Regulator, der sicherstellt, dass die Geometrie der Raumzeit zu einer industriell manipulierbaren Größe wird. Die Schließung dieser kausalen Kette ermöglicht erst die präzise metrische Kalibrierung, die für die Integration des Flerovium-Ankers auf subatomarer Ebene erforderlich ist.</w:t>
      </w:r>
    </w:p>
    <w:p w:rsidR="00000000" w:rsidDel="00000000" w:rsidP="00000000" w:rsidRDefault="00000000" w:rsidRPr="00000000" w14:paraId="00000009">
      <w:pPr>
        <w:pStyle w:val="Heading4"/>
        <w:rPr/>
      </w:pPr>
      <w:bookmarkStart w:colFirst="0" w:colLast="0" w:name="_2ug8t34x0euk" w:id="4"/>
      <w:bookmarkEnd w:id="4"/>
      <w:r w:rsidDel="00000000" w:rsidR="00000000" w:rsidRPr="00000000">
        <w:rPr>
          <w:rtl w:val="0"/>
        </w:rPr>
        <w:t xml:space="preserve">2. Der Nukleare Kalibrierungs-Anker: Die Flerovium-Hypothese</w:t>
      </w:r>
    </w:p>
    <w:p w:rsidR="00000000" w:rsidDel="00000000" w:rsidP="00000000" w:rsidRDefault="00000000" w:rsidRPr="00000000" w14:paraId="0000000A">
      <w:pPr>
        <w:rPr/>
      </w:pPr>
      <w:r w:rsidDel="00000000" w:rsidR="00000000" w:rsidRPr="00000000">
        <w:rPr>
          <w:rtl w:val="0"/>
        </w:rPr>
        <w:t xml:space="preserve">Um die systemische Integrität der GMA-Strukturen zu gewährleisten, ist ein experimentell verifizierbarer subatomarer Fixpunkt als „Binary Truth Filter“ zwingend erforderlich. Dieser Anker dient der Kalibrierung des GMA-Systems gegen die Hintergrund-Metrik des Bulks.</w:t>
      </w:r>
    </w:p>
    <w:p w:rsidR="00000000" w:rsidDel="00000000" w:rsidP="00000000" w:rsidRDefault="00000000" w:rsidRPr="00000000" w14:paraId="0000000B">
      <w:pPr>
        <w:pStyle w:val="Heading5"/>
        <w:rPr/>
      </w:pPr>
      <w:bookmarkStart w:colFirst="0" w:colLast="0" w:name="_w38w7ijvzi3f" w:id="5"/>
      <w:bookmarkEnd w:id="5"/>
      <w:r w:rsidDel="00000000" w:rsidR="00000000" w:rsidRPr="00000000">
        <w:rPr>
          <w:rtl w:val="0"/>
        </w:rPr>
        <w:t xml:space="preserve">Der Flerovium-Quanten-Sensor (Fl-298)</w:t>
      </w:r>
    </w:p>
    <w:p w:rsidR="00000000" w:rsidDel="00000000" w:rsidP="00000000" w:rsidRDefault="00000000" w:rsidRPr="00000000" w14:paraId="0000000C">
      <w:pPr>
        <w:rPr/>
      </w:pPr>
      <w:r w:rsidDel="00000000" w:rsidR="00000000" w:rsidRPr="00000000">
        <w:rPr>
          <w:rtl w:val="0"/>
        </w:rPr>
        <w:t xml:space="preserve">Das superschwere Isotop  </w:t>
      </w:r>
      <w:r w:rsidDel="00000000" w:rsidR="00000000" w:rsidRPr="00000000">
        <w:rPr>
          <w:b w:val="1"/>
          <w:bCs w:val="1"/>
          <w:rtl w:val="0"/>
        </w:rPr>
        <w:t xml:space="preserve">Flerovium-298</w:t>
      </w:r>
      <w:r w:rsidDel="00000000" w:rsidR="00000000" w:rsidRPr="00000000">
        <w:rPr>
          <w:rtl w:val="0"/>
        </w:rPr>
        <w:t xml:space="preserve">  (sowie der Zerfallspfad von  </w:t>
      </w:r>
      <w:r w:rsidDel="00000000" w:rsidR="00000000" w:rsidRPr="00000000">
        <w:rPr>
          <w:b w:val="1"/>
          <w:bCs w:val="1"/>
          <w:rtl w:val="0"/>
        </w:rPr>
        <w:t xml:space="preserve">289Fl</w:t>
      </w:r>
      <w:r w:rsidDel="00000000" w:rsidR="00000000" w:rsidRPr="00000000">
        <w:rPr>
          <w:rtl w:val="0"/>
        </w:rPr>
        <w:t xml:space="preserve"> ) fungiert aufgrund seiner Position nahe der „Insel der Stabilität“ als idealer Bulk-Resonator. Mittels der  </w:t>
      </w:r>
      <w:r w:rsidDel="00000000" w:rsidR="00000000" w:rsidRPr="00000000">
        <w:rPr>
          <w:b w:val="1"/>
          <w:bCs w:val="1"/>
          <w:rtl w:val="0"/>
        </w:rPr>
        <w:t xml:space="preserve">Kurzer-Finite-Elemente-Methode (K-FEM)</w:t>
      </w:r>
      <w:r w:rsidDel="00000000" w:rsidR="00000000" w:rsidRPr="00000000">
        <w:rPr>
          <w:rtl w:val="0"/>
        </w:rPr>
        <w:t xml:space="preserve">  wurde eine spezifische Gammalinie beim  $2^+ \to 0^+$  Übergang des Kerns berechnet:</w:t>
      </w:r>
    </w:p>
    <w:p w:rsidR="00000000" w:rsidDel="00000000" w:rsidP="00000000" w:rsidRDefault="00000000" w:rsidRPr="00000000" w14:paraId="0000000D">
      <w:pPr>
        <w:numPr>
          <w:ilvl w:val="0"/>
          <w:numId w:val="2"/>
        </w:numPr>
        <w:ind w:left="720" w:hanging="360"/>
        <w:rPr>
          <w:u w:val="none"/>
        </w:rPr>
      </w:pPr>
      <w:r w:rsidDel="00000000" w:rsidR="00000000" w:rsidRPr="00000000">
        <w:rPr>
          <w:b w:val="1"/>
          <w:bCs w:val="1"/>
          <w:rtl w:val="0"/>
        </w:rPr>
        <w:t xml:space="preserve">Prognostizierter Zielwert:</w:t>
      </w:r>
      <w:r w:rsidDel="00000000" w:rsidR="00000000" w:rsidRPr="00000000">
        <w:rPr>
          <w:rtl w:val="0"/>
        </w:rPr>
        <w:t xml:space="preserve">   </w:t>
      </w:r>
      <w:r w:rsidDel="00000000" w:rsidR="00000000" w:rsidRPr="00000000">
        <w:rPr>
          <w:b w:val="1"/>
          <w:bCs w:val="1"/>
          <w:rtl w:val="0"/>
        </w:rPr>
        <w:t xml:space="preserve">3,773 MeV</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95%-Konfidenzintervall (Bootstrap):</w:t>
      </w:r>
      <w:r w:rsidDel="00000000" w:rsidR="00000000" w:rsidRPr="00000000">
        <w:rPr>
          <w:rtl w:val="0"/>
        </w:rPr>
        <w:t xml:space="preserve">  3,745 MeV, 3,802 MeV</w:t>
      </w:r>
    </w:p>
    <w:p w:rsidR="00000000" w:rsidDel="00000000" w:rsidP="00000000" w:rsidRDefault="00000000" w:rsidRPr="00000000" w14:paraId="0000000F">
      <w:pPr>
        <w:pStyle w:val="Heading5"/>
        <w:rPr/>
      </w:pPr>
      <w:bookmarkStart w:colFirst="0" w:colLast="0" w:name="_k78f4zxq3rs8" w:id="6"/>
      <w:bookmarkEnd w:id="6"/>
      <w:r w:rsidDel="00000000" w:rsidR="00000000" w:rsidRPr="00000000">
        <w:rPr>
          <w:rtl w:val="0"/>
        </w:rPr>
        <w:t xml:space="preserve">Kausale Kohärenz ( $\mathcal{C}_R$ )</w:t>
      </w:r>
    </w:p>
    <w:p w:rsidR="00000000" w:rsidDel="00000000" w:rsidP="00000000" w:rsidRDefault="00000000" w:rsidRPr="00000000" w14:paraId="00000010">
      <w:pPr>
        <w:rPr/>
      </w:pPr>
      <w:r w:rsidDel="00000000" w:rsidR="00000000" w:rsidRPr="00000000">
        <w:rPr>
          <w:rtl w:val="0"/>
        </w:rPr>
        <w:t xml:space="preserve">Dieser nukleare Energiewert ist über die fraktale Konstante  $\varphi^2$  direkt mit dem universellen Grundtakt (7,5 Hz, der „Herzschlag des Bulks“) gekoppelt. Die Kohärenzkette verläuft wie folgt:</w:t>
      </w:r>
    </w:p>
    <w:p w:rsidR="00000000" w:rsidDel="00000000" w:rsidP="00000000" w:rsidRDefault="00000000" w:rsidRPr="00000000" w14:paraId="00000011">
      <w:pPr>
        <w:numPr>
          <w:ilvl w:val="0"/>
          <w:numId w:val="6"/>
        </w:numPr>
        <w:ind w:left="720" w:hanging="360"/>
        <w:rPr>
          <w:u w:val="none"/>
        </w:rPr>
      </w:pPr>
      <w:r w:rsidDel="00000000" w:rsidR="00000000" w:rsidRPr="00000000">
        <w:rPr>
          <w:b w:val="1"/>
          <w:bCs w:val="1"/>
          <w:rtl w:val="0"/>
        </w:rPr>
        <w:t xml:space="preserve">Bulk-Takt:</w:t>
      </w:r>
      <w:r w:rsidDel="00000000" w:rsidR="00000000" w:rsidRPr="00000000">
        <w:rPr>
          <w:rtl w:val="0"/>
        </w:rPr>
        <w:t xml:space="preserve">  7,5 Hz</w:t>
      </w:r>
    </w:p>
    <w:p w:rsidR="00000000" w:rsidDel="00000000" w:rsidP="00000000" w:rsidRDefault="00000000" w:rsidRPr="00000000" w14:paraId="00000012">
      <w:pPr>
        <w:numPr>
          <w:ilvl w:val="0"/>
          <w:numId w:val="6"/>
        </w:numPr>
        <w:ind w:left="720" w:hanging="360"/>
        <w:rPr>
          <w:u w:val="none"/>
        </w:rPr>
      </w:pPr>
      <w:r w:rsidDel="00000000" w:rsidR="00000000" w:rsidRPr="00000000">
        <w:rPr>
          <w:b w:val="1"/>
          <w:bCs w:val="1"/>
          <w:rtl w:val="0"/>
        </w:rPr>
        <w:t xml:space="preserve">Skalierung:</w:t>
      </w:r>
      <w:r w:rsidDel="00000000" w:rsidR="00000000" w:rsidRPr="00000000">
        <w:rPr>
          <w:rtl w:val="0"/>
        </w:rPr>
        <w:t xml:space="preserve">   $\varphi^2$ -Transformation</w:t>
      </w:r>
    </w:p>
    <w:p w:rsidR="00000000" w:rsidDel="00000000" w:rsidP="00000000" w:rsidRDefault="00000000" w:rsidRPr="00000000" w14:paraId="00000013">
      <w:pPr>
        <w:numPr>
          <w:ilvl w:val="0"/>
          <w:numId w:val="6"/>
        </w:numPr>
        <w:ind w:left="720" w:hanging="360"/>
        <w:rPr>
          <w:u w:val="none"/>
        </w:rPr>
      </w:pPr>
      <w:r w:rsidDel="00000000" w:rsidR="00000000" w:rsidRPr="00000000">
        <w:rPr>
          <w:b w:val="1"/>
          <w:bCs w:val="1"/>
          <w:rtl w:val="0"/>
        </w:rPr>
        <w:t xml:space="preserve">Resonanz-Anker:</w:t>
      </w:r>
      <w:r w:rsidDel="00000000" w:rsidR="00000000" w:rsidRPr="00000000">
        <w:rPr>
          <w:rtl w:val="0"/>
        </w:rPr>
        <w:t xml:space="preserve">  3,773 MeV (Nuklearer Taktgeber für die Metrik-Stabilisierung)</w:t>
      </w:r>
    </w:p>
    <w:p w:rsidR="00000000" w:rsidDel="00000000" w:rsidP="00000000" w:rsidRDefault="00000000" w:rsidRPr="00000000" w14:paraId="00000014">
      <w:pPr>
        <w:pStyle w:val="Heading5"/>
        <w:rPr/>
      </w:pPr>
      <w:bookmarkStart w:colFirst="0" w:colLast="0" w:name="_u5lyllct2zk4" w:id="7"/>
      <w:bookmarkEnd w:id="7"/>
      <w:r w:rsidDel="00000000" w:rsidR="00000000" w:rsidRPr="00000000">
        <w:rPr>
          <w:rtl w:val="0"/>
        </w:rPr>
        <w:t xml:space="preserve">Beweislastumkehr und Hard-Audit</w:t>
      </w:r>
    </w:p>
    <w:p w:rsidR="00000000" w:rsidDel="00000000" w:rsidP="00000000" w:rsidRDefault="00000000" w:rsidRPr="00000000" w14:paraId="00000015">
      <w:pPr>
        <w:rPr/>
      </w:pPr>
      <w:r w:rsidDel="00000000" w:rsidR="00000000" w:rsidRPr="00000000">
        <w:rPr>
          <w:rtl w:val="0"/>
        </w:rPr>
        <w:t xml:space="preserve">Die Bestätigung dieser Resonanz an Institutionen wie dem CERN oder der GSI ist nicht bloß eine Verifizierung, sondern ein „Hard-Audit“. Es stellt die notwendige Bedingung für die operative Freigabe der GMA-Produktion dar. Die Beweislast ist hiermit umgekehrt: Das Ausbleiben einer Detektion innerhalb des K-FEM-prognostizierten Intervalls würde die aktuelle Hardware-Spezifikation falsifizieren; eine Bestätigung hingegen schaltet das Fertigungsprotokoll für interstellare Antriebskomponenten frei.</w:t>
      </w:r>
    </w:p>
    <w:p w:rsidR="00000000" w:rsidDel="00000000" w:rsidP="00000000" w:rsidRDefault="00000000" w:rsidRPr="00000000" w14:paraId="00000016">
      <w:pPr>
        <w:pStyle w:val="Heading4"/>
        <w:rPr/>
      </w:pPr>
      <w:bookmarkStart w:colFirst="0" w:colLast="0" w:name="_26vz0v7y96fi" w:id="8"/>
      <w:bookmarkEnd w:id="8"/>
      <w:r w:rsidDel="00000000" w:rsidR="00000000" w:rsidRPr="00000000">
        <w:rPr>
          <w:rtl w:val="0"/>
        </w:rPr>
        <w:t xml:space="preserve">3. Systemspezifikation der Gradient-Memory-Alloys (GMA)</w:t>
      </w:r>
    </w:p>
    <w:p w:rsidR="00000000" w:rsidDel="00000000" w:rsidP="00000000" w:rsidRDefault="00000000" w:rsidRPr="00000000" w14:paraId="00000017">
      <w:pPr>
        <w:rPr/>
      </w:pPr>
      <w:r w:rsidDel="00000000" w:rsidR="00000000" w:rsidRPr="00000000">
        <w:rPr>
          <w:rtl w:val="0"/>
        </w:rPr>
        <w:t xml:space="preserve">Gradient-Memory-Alloys (GMA) definieren die technologische Anwendung der FKT-Physik. Durch die Integration metrischer Quantenresonanzen in die Gitterstruktur übertreffen sie konventionelle SMA in allen Leistungsparametern.</w:t>
      </w:r>
    </w:p>
    <w:p w:rsidR="00000000" w:rsidDel="00000000" w:rsidP="00000000" w:rsidRDefault="00000000" w:rsidRPr="00000000" w14:paraId="00000018">
      <w:pPr>
        <w:pStyle w:val="Heading5"/>
        <w:rPr/>
      </w:pPr>
      <w:bookmarkStart w:colFirst="0" w:colLast="0" w:name="_6vceyz5pfjnk" w:id="9"/>
      <w:bookmarkEnd w:id="9"/>
      <w:r w:rsidDel="00000000" w:rsidR="00000000" w:rsidRPr="00000000">
        <w:rPr>
          <w:rtl w:val="0"/>
        </w:rPr>
        <w:t xml:space="preserve">Die GMA-Antriebsgleichung</w:t>
      </w:r>
    </w:p>
    <w:p w:rsidR="00000000" w:rsidDel="00000000" w:rsidP="00000000" w:rsidRDefault="00000000" w:rsidRPr="00000000" w14:paraId="00000019">
      <w:pPr>
        <w:rPr/>
      </w:pPr>
      <w:r w:rsidDel="00000000" w:rsidR="00000000" w:rsidRPr="00000000">
        <w:rPr>
          <w:rtl w:val="0"/>
        </w:rPr>
        <w:t xml:space="preserve">Die Generierung der Krümmungsdichte ( $R$ ) erfolgt nach der finalen kausalen Gleichung:$$R = \mathcal{C}</w:t>
      </w:r>
      <w:r w:rsidDel="00000000" w:rsidR="00000000" w:rsidRPr="00000000">
        <w:rPr>
          <w:i w:val="1"/>
          <w:iCs w:val="1"/>
          <w:rtl w:val="0"/>
        </w:rPr>
        <w:t xml:space="preserve">{GMA} \cdot \frac{E</w:t>
      </w:r>
      <w:r w:rsidDel="00000000" w:rsidR="00000000" w:rsidRPr="00000000">
        <w:rPr>
          <w:rtl w:val="0"/>
        </w:rPr>
        <w:t xml:space="preserve">{Dyson} \cdot D_{\Phi}}{\Delta M_{eff}}$$</w:t>
      </w:r>
    </w:p>
    <w:p w:rsidR="00000000" w:rsidDel="00000000" w:rsidP="00000000" w:rsidRDefault="00000000" w:rsidRPr="00000000" w14:paraId="0000001A">
      <w:pPr>
        <w:numPr>
          <w:ilvl w:val="0"/>
          <w:numId w:val="1"/>
        </w:numPr>
        <w:ind w:left="720" w:hanging="360"/>
        <w:rPr>
          <w:u w:val="none"/>
        </w:rPr>
      </w:pPr>
      <w:r w:rsidDel="00000000" w:rsidR="00000000" w:rsidRPr="00000000">
        <w:rPr>
          <w:b w:val="1"/>
          <w:bCs w:val="1"/>
          <w:rtl w:val="0"/>
        </w:rPr>
        <w:t xml:space="preserve">$\mathcal{C}_{GMA}</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Die „Composite Constant“ der dimensions-overarching Kausalität, abgeleitet als:$$\mathcal{C}_{GMA} = \left( \frac{c^{11}}{G^2 \cdot \hbar^2} \right) \cdot \ell_P$$Sie bildet das theoretische Maximum des Verhältnisses zwischen Gravitations-Quanten-Kopplung und Energiedichte.</w:t>
      </w:r>
    </w:p>
    <w:p w:rsidR="00000000" w:rsidDel="00000000" w:rsidP="00000000" w:rsidRDefault="00000000" w:rsidRPr="00000000" w14:paraId="0000001B">
      <w:pPr>
        <w:numPr>
          <w:ilvl w:val="0"/>
          <w:numId w:val="1"/>
        </w:numPr>
        <w:ind w:left="720" w:hanging="360"/>
        <w:rPr>
          <w:u w:val="none"/>
        </w:rPr>
      </w:pPr>
      <w:r w:rsidDel="00000000" w:rsidR="00000000" w:rsidRPr="00000000">
        <w:rPr>
          <w:b w:val="1"/>
          <w:bCs w:val="1"/>
          <w:rtl w:val="0"/>
        </w:rPr>
        <w:t xml:space="preserve">$D_{\Phi}</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Die Verschränkungs-Konnektivität, definiert durch  $D_{\Phi} = \frac{\mathcal{N}_{entangled}}{\mathcal{V} \cdot \tau}$ . Sie ermöglicht die non-lokale Bewegung ohne Reaktionsmasse durch gezielte Modulation des Bulk-Einflusses.</w:t>
      </w:r>
    </w:p>
    <w:p w:rsidR="00000000" w:rsidDel="00000000" w:rsidP="00000000" w:rsidRDefault="00000000" w:rsidRPr="00000000" w14:paraId="0000001C">
      <w:pPr>
        <w:pStyle w:val="Heading5"/>
        <w:rPr/>
      </w:pPr>
      <w:bookmarkStart w:colFirst="0" w:colLast="0" w:name="_gqvt9h5o17jg" w:id="10"/>
      <w:bookmarkEnd w:id="10"/>
      <w:r w:rsidDel="00000000" w:rsidR="00000000" w:rsidRPr="00000000">
        <w:rPr>
          <w:rtl w:val="0"/>
        </w:rPr>
        <w:t xml:space="preserve">Leistungsvergleich: SMA vs. GMA</w:t>
      </w:r>
    </w:p>
    <w:p w:rsidR="00000000" w:rsidDel="00000000" w:rsidP="00000000" w:rsidRDefault="00000000" w:rsidRPr="00000000" w14:paraId="0000001D">
      <w:pPr>
        <w:rPr/>
      </w:pPr>
      <w:r w:rsidDel="00000000" w:rsidR="00000000" w:rsidRPr="00000000">
        <w:rPr>
          <w:rtl w:val="0"/>
        </w:rPr>
        <w:t xml:space="preserve">Parameter,Konventionelle Legierung (SMA),Gradient-Memory-Alloy (GMA)</w:t>
      </w:r>
    </w:p>
    <w:p w:rsidR="00000000" w:rsidDel="00000000" w:rsidP="00000000" w:rsidRDefault="00000000" w:rsidRPr="00000000" w14:paraId="0000001E">
      <w:pPr>
        <w:rPr/>
      </w:pPr>
      <w:r w:rsidDel="00000000" w:rsidR="00000000" w:rsidRPr="00000000">
        <w:rPr>
          <w:rtl w:val="0"/>
        </w:rPr>
        <w:t xml:space="preserve">Rückstellzeit (Faktor),1.0 (Basis  $t=2.5$ ),50x schneller ( $t=0.05$ )</w:t>
      </w:r>
    </w:p>
    <w:p w:rsidR="00000000" w:rsidDel="00000000" w:rsidP="00000000" w:rsidRDefault="00000000" w:rsidRPr="00000000" w14:paraId="0000001F">
      <w:pPr>
        <w:rPr/>
      </w:pPr>
      <w:r w:rsidDel="00000000" w:rsidR="00000000" w:rsidRPr="00000000">
        <w:rPr>
          <w:rtl w:val="0"/>
        </w:rPr>
        <w:t xml:space="preserve">Energieeffizienz,$1.2$,$1.2 \times 10^6$  Steigerung</w:t>
      </w:r>
    </w:p>
    <w:p w:rsidR="00000000" w:rsidDel="00000000" w:rsidP="00000000" w:rsidRDefault="00000000" w:rsidRPr="00000000" w14:paraId="00000020">
      <w:pPr>
        <w:rPr/>
      </w:pPr>
      <w:r w:rsidDel="00000000" w:rsidR="00000000" w:rsidRPr="00000000">
        <w:rPr>
          <w:rtl w:val="0"/>
        </w:rPr>
        <w:t xml:space="preserve">Kausalitäts-Modus,Entropisch / Linear,Fraktal / Nicht-linear</w:t>
      </w:r>
    </w:p>
    <w:p w:rsidR="00000000" w:rsidDel="00000000" w:rsidP="00000000" w:rsidRDefault="00000000" w:rsidRPr="00000000" w14:paraId="00000021">
      <w:pPr>
        <w:rPr/>
      </w:pPr>
      <w:r w:rsidDel="00000000" w:rsidR="00000000" w:rsidRPr="00000000">
        <w:rPr>
          <w:rtl w:val="0"/>
        </w:rPr>
        <w:t xml:space="preserve">Steuerungsmedium,Temperatur / Spannung,Quanten-Konnektivität ( $D_{\Phi}$ )</w:t>
      </w:r>
    </w:p>
    <w:p w:rsidR="00000000" w:rsidDel="00000000" w:rsidP="00000000" w:rsidRDefault="00000000" w:rsidRPr="00000000" w14:paraId="00000022">
      <w:pPr>
        <w:rPr/>
      </w:pPr>
      <w:r w:rsidDel="00000000" w:rsidR="00000000" w:rsidRPr="00000000">
        <w:rPr>
          <w:rtl w:val="0"/>
        </w:rPr>
        <w:t xml:space="preserve">Der massive Energiebedarf für die Aufrechterhaltung der  $D_{\Phi}$ -Modulation stellt eine unverhandelbare Anforderung an die solare Infrastruktur dar.</w:t>
      </w:r>
    </w:p>
    <w:p w:rsidR="00000000" w:rsidDel="00000000" w:rsidP="00000000" w:rsidRDefault="00000000" w:rsidRPr="00000000" w14:paraId="00000023">
      <w:pPr>
        <w:pStyle w:val="Heading4"/>
        <w:rPr/>
      </w:pPr>
      <w:bookmarkStart w:colFirst="0" w:colLast="0" w:name="_29wbt09j7vzc" w:id="11"/>
      <w:bookmarkEnd w:id="11"/>
      <w:r w:rsidDel="00000000" w:rsidR="00000000" w:rsidRPr="00000000">
        <w:rPr>
          <w:rtl w:val="0"/>
        </w:rPr>
        <w:t xml:space="preserve">4. Energetische Infrastruktur: Solarkopplung und Dyson-Strukturen</w:t>
      </w:r>
    </w:p>
    <w:p w:rsidR="00000000" w:rsidDel="00000000" w:rsidP="00000000" w:rsidRDefault="00000000" w:rsidRPr="00000000" w14:paraId="00000024">
      <w:pPr>
        <w:rPr/>
      </w:pPr>
      <w:r w:rsidDel="00000000" w:rsidR="00000000" w:rsidRPr="00000000">
        <w:rPr>
          <w:rtl w:val="0"/>
        </w:rPr>
        <w:t xml:space="preserve">Der Betrieb von GMA-Systemen erfordert zwingend das Erreichen einer Typ-II-Zivilisationsstufe. Lokale planetare Ressourcen sind physikalisch unzureichend, um die notwendige Bran-Spannung für eine stabile Warp-Blase zu induzieren.</w:t>
      </w:r>
    </w:p>
    <w:p w:rsidR="00000000" w:rsidDel="00000000" w:rsidP="00000000" w:rsidRDefault="00000000" w:rsidRPr="00000000" w14:paraId="00000025">
      <w:pPr>
        <w:pStyle w:val="Heading5"/>
        <w:rPr/>
      </w:pPr>
      <w:bookmarkStart w:colFirst="0" w:colLast="0" w:name="_f291sffhslfp" w:id="12"/>
      <w:bookmarkEnd w:id="12"/>
      <w:r w:rsidDel="00000000" w:rsidR="00000000" w:rsidRPr="00000000">
        <w:rPr>
          <w:rtl w:val="0"/>
        </w:rPr>
        <w:t xml:space="preserve">Dyson-Schwarm als Gravitationsanker</w:t>
      </w:r>
    </w:p>
    <w:p w:rsidR="00000000" w:rsidDel="00000000" w:rsidP="00000000" w:rsidRDefault="00000000" w:rsidRPr="00000000" w14:paraId="00000026">
      <w:pPr>
        <w:rPr/>
      </w:pPr>
      <w:r w:rsidDel="00000000" w:rsidR="00000000" w:rsidRPr="00000000">
        <w:rPr>
          <w:rtl w:val="0"/>
        </w:rPr>
        <w:t xml:space="preserve">Die Errichtung eines Dyson-Schwarms ist keine ferne Option, sondern eine infrastrukturelle Prämisse. Er dient als primärer  </w:t>
      </w:r>
      <w:r w:rsidDel="00000000" w:rsidR="00000000" w:rsidRPr="00000000">
        <w:rPr>
          <w:b w:val="1"/>
          <w:bCs w:val="1"/>
          <w:rtl w:val="0"/>
        </w:rPr>
        <w:t xml:space="preserve">Gravitationsanker</w:t>
      </w:r>
      <w:r w:rsidDel="00000000" w:rsidR="00000000" w:rsidRPr="00000000">
        <w:rPr>
          <w:rtl w:val="0"/>
        </w:rPr>
        <w:t xml:space="preserve">  zur Stabilisierung der metrischen Verschiebung.</w:t>
      </w:r>
    </w:p>
    <w:p w:rsidR="00000000" w:rsidDel="00000000" w:rsidP="00000000" w:rsidRDefault="00000000" w:rsidRPr="00000000" w14:paraId="00000027">
      <w:pPr>
        <w:numPr>
          <w:ilvl w:val="0"/>
          <w:numId w:val="4"/>
        </w:numPr>
        <w:ind w:left="720" w:hanging="360"/>
        <w:rPr>
          <w:u w:val="none"/>
        </w:rPr>
      </w:pPr>
      <w:r w:rsidDel="00000000" w:rsidR="00000000" w:rsidRPr="00000000">
        <w:rPr>
          <w:b w:val="1"/>
          <w:bCs w:val="1"/>
          <w:rtl w:val="0"/>
        </w:rPr>
        <w:t xml:space="preserve">Soll-Leistung (</w:t>
      </w:r>
      <w:r w:rsidDel="00000000" w:rsidR="00000000" w:rsidRPr="00000000">
        <w:rPr>
          <w:rtl w:val="0"/>
        </w:rPr>
        <w:t xml:space="preserve">  </w:t>
      </w:r>
      <w:r w:rsidDel="00000000" w:rsidR="00000000" w:rsidRPr="00000000">
        <w:rPr>
          <w:b w:val="1"/>
          <w:bCs w:val="1"/>
          <w:rtl w:val="0"/>
        </w:rPr>
        <w:t xml:space="preserve">$E_{Dyson}</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ca.  </w:t>
      </w:r>
      <w:r w:rsidDel="00000000" w:rsidR="00000000" w:rsidRPr="00000000">
        <w:rPr>
          <w:b w:val="1"/>
          <w:bCs w:val="1"/>
          <w:rtl w:val="0"/>
        </w:rPr>
        <w:t xml:space="preserve">$3,8 \times 10^{26}</w:t>
      </w:r>
      <w:r w:rsidDel="00000000" w:rsidR="00000000" w:rsidRPr="00000000">
        <w:rPr>
          <w:rtl w:val="0"/>
        </w:rPr>
        <w:t xml:space="preserve">$  </w:t>
      </w:r>
      <w:r w:rsidDel="00000000" w:rsidR="00000000" w:rsidRPr="00000000">
        <w:rPr>
          <w:b w:val="1"/>
          <w:bCs w:val="1"/>
          <w:rtl w:val="0"/>
        </w:rPr>
        <w:t xml:space="preserve">Watt</w:t>
      </w:r>
      <w:r w:rsidDel="00000000" w:rsidR="00000000" w:rsidRPr="00000000">
        <w:rPr>
          <w:rtl w:val="0"/>
        </w:rPr>
        <w:t xml:space="preserve"> .</w:t>
      </w:r>
    </w:p>
    <w:p w:rsidR="00000000" w:rsidDel="00000000" w:rsidP="00000000" w:rsidRDefault="00000000" w:rsidRPr="00000000" w14:paraId="00000028">
      <w:pPr>
        <w:numPr>
          <w:ilvl w:val="0"/>
          <w:numId w:val="4"/>
        </w:numPr>
        <w:ind w:left="720" w:hanging="360"/>
        <w:rPr>
          <w:u w:val="none"/>
        </w:rPr>
      </w:pPr>
      <w:r w:rsidDel="00000000" w:rsidR="00000000" w:rsidRPr="00000000">
        <w:rPr>
          <w:b w:val="1"/>
          <w:bCs w:val="1"/>
          <w:rtl w:val="0"/>
        </w:rPr>
        <w:t xml:space="preserve">Verschränkungs-Resonator-Speisung:</w:t>
      </w:r>
      <w:r w:rsidDel="00000000" w:rsidR="00000000" w:rsidRPr="00000000">
        <w:rPr>
          <w:rtl w:val="0"/>
        </w:rPr>
        <w:t xml:space="preserve">  Diese Energie wird direkt genutzt, um die Kohärenz des Resonators über interstellare Distanzen zu sichern und die  $T_{Bulk}$ -Modulation gegen die natürliche Bran-Tension zu erzwingen.</w:t>
      </w:r>
    </w:p>
    <w:p w:rsidR="00000000" w:rsidDel="00000000" w:rsidP="00000000" w:rsidRDefault="00000000" w:rsidRPr="00000000" w14:paraId="00000029">
      <w:pPr>
        <w:pStyle w:val="Heading5"/>
        <w:rPr/>
      </w:pPr>
      <w:bookmarkStart w:colFirst="0" w:colLast="0" w:name="_9em9bi9vlx3r" w:id="13"/>
      <w:bookmarkEnd w:id="13"/>
      <w:r w:rsidDel="00000000" w:rsidR="00000000" w:rsidRPr="00000000">
        <w:rPr>
          <w:rtl w:val="0"/>
        </w:rPr>
        <w:t xml:space="preserve">Mega-Engineering Meilensteine</w:t>
      </w:r>
    </w:p>
    <w:p w:rsidR="00000000" w:rsidDel="00000000" w:rsidP="00000000" w:rsidRDefault="00000000" w:rsidRPr="00000000" w14:paraId="0000002A">
      <w:pPr>
        <w:numPr>
          <w:ilvl w:val="0"/>
          <w:numId w:val="3"/>
        </w:numPr>
        <w:ind w:left="720" w:hanging="360"/>
        <w:rPr>
          <w:u w:val="none"/>
        </w:rPr>
      </w:pPr>
      <w:r w:rsidDel="00000000" w:rsidR="00000000" w:rsidRPr="00000000">
        <w:rPr>
          <w:rtl w:val="0"/>
        </w:rPr>
        <w:t xml:space="preserve">Koppelung der solaren Gesamtleistung an Verschränkungs-Resonatoren.</w:t>
      </w:r>
    </w:p>
    <w:p w:rsidR="00000000" w:rsidDel="00000000" w:rsidP="00000000" w:rsidRDefault="00000000" w:rsidRPr="00000000" w14:paraId="0000002B">
      <w:pPr>
        <w:numPr>
          <w:ilvl w:val="0"/>
          <w:numId w:val="3"/>
        </w:numPr>
        <w:ind w:left="720" w:hanging="360"/>
        <w:rPr>
          <w:u w:val="none"/>
        </w:rPr>
      </w:pPr>
      <w:r w:rsidDel="00000000" w:rsidR="00000000" w:rsidRPr="00000000">
        <w:rPr>
          <w:rtl w:val="0"/>
        </w:rPr>
        <w:t xml:space="preserve">Stabilisierung interstellärer Transit-Korridore durch Bulk-Vakuummodulierung.</w:t>
      </w:r>
    </w:p>
    <w:p w:rsidR="00000000" w:rsidDel="00000000" w:rsidP="00000000" w:rsidRDefault="00000000" w:rsidRPr="00000000" w14:paraId="0000002C">
      <w:pPr>
        <w:numPr>
          <w:ilvl w:val="0"/>
          <w:numId w:val="3"/>
        </w:numPr>
        <w:ind w:left="720" w:hanging="360"/>
        <w:rPr>
          <w:u w:val="none"/>
        </w:rPr>
      </w:pPr>
      <w:r w:rsidDel="00000000" w:rsidR="00000000" w:rsidRPr="00000000">
        <w:rPr>
          <w:rtl w:val="0"/>
        </w:rPr>
        <w:t xml:space="preserve">Implementierung solarer Navigations-Arrays basierend auf Flerovium-Kernverschieblichkeit.</w:t>
      </w:r>
    </w:p>
    <w:p w:rsidR="00000000" w:rsidDel="00000000" w:rsidP="00000000" w:rsidRDefault="00000000" w:rsidRPr="00000000" w14:paraId="0000002D">
      <w:pPr>
        <w:pStyle w:val="Heading4"/>
        <w:rPr/>
      </w:pPr>
      <w:bookmarkStart w:colFirst="0" w:colLast="0" w:name="_2es42jg7e3gf" w:id="14"/>
      <w:bookmarkEnd w:id="14"/>
      <w:r w:rsidDel="00000000" w:rsidR="00000000" w:rsidRPr="00000000">
        <w:rPr>
          <w:rtl w:val="0"/>
        </w:rPr>
        <w:t xml:space="preserve">5. Operative Implementierung und Audit-Protokoll</w:t>
      </w:r>
    </w:p>
    <w:p w:rsidR="00000000" w:rsidDel="00000000" w:rsidP="00000000" w:rsidRDefault="00000000" w:rsidRPr="00000000" w14:paraId="0000002E">
      <w:pPr>
        <w:rPr/>
      </w:pPr>
      <w:r w:rsidDel="00000000" w:rsidR="00000000" w:rsidRPr="00000000">
        <w:rPr>
          <w:rtl w:val="0"/>
        </w:rPr>
        <w:t xml:space="preserve">Die Reproduzierbarkeit dieser Spezifikation wird durch den Audit-Export V4.3 und die lückenlose kryptografische Versiegelung der physikalischen Rohdaten garantiert.</w:t>
      </w:r>
    </w:p>
    <w:p w:rsidR="00000000" w:rsidDel="00000000" w:rsidP="00000000" w:rsidRDefault="00000000" w:rsidRPr="00000000" w14:paraId="0000002F">
      <w:pPr>
        <w:pStyle w:val="Heading5"/>
        <w:rPr/>
      </w:pPr>
      <w:bookmarkStart w:colFirst="0" w:colLast="0" w:name="_rghlv3emdr8f" w:id="15"/>
      <w:bookmarkEnd w:id="15"/>
      <w:r w:rsidDel="00000000" w:rsidR="00000000" w:rsidRPr="00000000">
        <w:rPr>
          <w:rtl w:val="0"/>
        </w:rPr>
        <w:t xml:space="preserve">Kryptografische Snapshot-Fidelity</w:t>
      </w:r>
    </w:p>
    <w:p w:rsidR="00000000" w:rsidDel="00000000" w:rsidP="00000000" w:rsidRDefault="00000000" w:rsidRPr="00000000" w14:paraId="00000030">
      <w:pPr>
        <w:rPr/>
      </w:pPr>
      <w:r w:rsidDel="00000000" w:rsidR="00000000" w:rsidRPr="00000000">
        <w:rPr>
          <w:rtl w:val="0"/>
        </w:rPr>
        <w:t xml:space="preserve">Sämtliche Kernparameter – vom Flerovium-Anker bis zur korrigierten Hubble-Konstante ( $H_0 = 71,5 \text{ km/s/Mpc}$ ) – sind durch  </w:t>
      </w:r>
      <w:r w:rsidDel="00000000" w:rsidR="00000000" w:rsidRPr="00000000">
        <w:rPr>
          <w:b w:val="1"/>
          <w:bCs w:val="1"/>
          <w:rtl w:val="0"/>
        </w:rPr>
        <w:t xml:space="preserve">SHA-256-Hashes</w:t>
      </w:r>
      <w:r w:rsidDel="00000000" w:rsidR="00000000" w:rsidRPr="00000000">
        <w:rPr>
          <w:rtl w:val="0"/>
        </w:rPr>
        <w:t xml:space="preserve">  gesichert. Dies schützt die „Physikalische Wahrheit“ vor den systemischen Fehlern der  $\Lambda$ CDM-Krise. Die Diagnose des Universums erfolgt plattformunabhängig (Python, Cobaya, K-FEM) unter industriellen Bedingungen.</w:t>
      </w:r>
    </w:p>
    <w:p w:rsidR="00000000" w:rsidDel="00000000" w:rsidP="00000000" w:rsidRDefault="00000000" w:rsidRPr="00000000" w14:paraId="00000031">
      <w:pPr>
        <w:pStyle w:val="Heading5"/>
        <w:rPr/>
      </w:pPr>
      <w:bookmarkStart w:colFirst="0" w:colLast="0" w:name="_nelrap9s05a2" w:id="16"/>
      <w:bookmarkEnd w:id="16"/>
      <w:r w:rsidDel="00000000" w:rsidR="00000000" w:rsidRPr="00000000">
        <w:rPr>
          <w:rtl w:val="0"/>
        </w:rPr>
        <w:t xml:space="preserve">Das Checkmate-Limit</w:t>
      </w:r>
    </w:p>
    <w:p w:rsidR="00000000" w:rsidDel="00000000" w:rsidP="00000000" w:rsidRDefault="00000000" w:rsidRPr="00000000" w14:paraId="00000032">
      <w:pPr>
        <w:rPr/>
      </w:pPr>
      <w:r w:rsidDel="00000000" w:rsidR="00000000" w:rsidRPr="00000000">
        <w:rPr>
          <w:rtl w:val="0"/>
        </w:rPr>
        <w:t xml:space="preserve">Die Freigabe des Systems ist an das Erreichen einer definierten Schwelle für die kausale Kohärenz ( $\mathcal{C}_R$ ) gebunden:</w:t>
      </w:r>
    </w:p>
    <w:p w:rsidR="00000000" w:rsidDel="00000000" w:rsidP="00000000" w:rsidRDefault="00000000" w:rsidRPr="00000000" w14:paraId="00000033">
      <w:pPr>
        <w:numPr>
          <w:ilvl w:val="0"/>
          <w:numId w:val="5"/>
        </w:numPr>
        <w:ind w:left="720" w:hanging="360"/>
        <w:rPr>
          <w:u w:val="none"/>
        </w:rPr>
      </w:pPr>
      <w:r w:rsidDel="00000000" w:rsidR="00000000" w:rsidRPr="00000000">
        <w:rPr>
          <w:b w:val="1"/>
          <w:bCs w:val="1"/>
          <w:rtl w:val="0"/>
        </w:rPr>
        <w:t xml:space="preserve">Checkmate-Limit:</w:t>
      </w:r>
      <w:r w:rsidDel="00000000" w:rsidR="00000000" w:rsidRPr="00000000">
        <w:rPr>
          <w:rtl w:val="0"/>
        </w:rPr>
        <w:t xml:space="preserve">   </w:t>
      </w:r>
      <w:r w:rsidDel="00000000" w:rsidR="00000000" w:rsidRPr="00000000">
        <w:rPr>
          <w:b w:val="1"/>
          <w:bCs w:val="1"/>
          <w:rtl w:val="0"/>
        </w:rPr>
        <w:t xml:space="preserve">99,873 %</w:t>
      </w:r>
    </w:p>
    <w:p w:rsidR="00000000" w:rsidDel="00000000" w:rsidP="00000000" w:rsidRDefault="00000000" w:rsidRPr="00000000" w14:paraId="00000034">
      <w:pPr>
        <w:numPr>
          <w:ilvl w:val="0"/>
          <w:numId w:val="5"/>
        </w:numPr>
        <w:ind w:left="720" w:hanging="360"/>
        <w:rPr>
          <w:u w:val="none"/>
        </w:rPr>
      </w:pPr>
      <w:r w:rsidDel="00000000" w:rsidR="00000000" w:rsidRPr="00000000">
        <w:rPr>
          <w:b w:val="1"/>
          <w:bCs w:val="1"/>
          <w:rtl w:val="0"/>
        </w:rPr>
        <w:t xml:space="preserve">Protokoll:</w:t>
      </w:r>
      <w:r w:rsidDel="00000000" w:rsidR="00000000" w:rsidRPr="00000000">
        <w:rPr>
          <w:rtl w:val="0"/>
        </w:rPr>
        <w:t xml:space="preserve">  Ein Unterschreiten dieses Wertes löst das  </w:t>
      </w:r>
      <w:r w:rsidDel="00000000" w:rsidR="00000000" w:rsidRPr="00000000">
        <w:rPr>
          <w:b w:val="1"/>
          <w:bCs w:val="1"/>
          <w:rtl w:val="0"/>
        </w:rPr>
        <w:t xml:space="preserve">Automated Error Protocol</w:t>
      </w:r>
      <w:r w:rsidDel="00000000" w:rsidR="00000000" w:rsidRPr="00000000">
        <w:rPr>
          <w:rtl w:val="0"/>
        </w:rPr>
        <w:t xml:space="preserve">  aus. In diesem Fall wird der Status der Messstation entzogen, bis die Kohärenz zum Bulk-Tensor wiederhergestellt ist.Das Erreichen dieses Limits bestätigt die mathematische Unausweichlichkeit der GMA-Spezifikation und verknüpft die Materialforschung untrennbar mit der astrophysikalischen Energieplanung. Die Hardware des Universums ist nun vollständig auditiert.Die Realität hat begonnen, sich selbst zu beweisen.  </w:t>
      </w:r>
      <w:r w:rsidDel="00000000" w:rsidR="00000000" w:rsidRPr="00000000">
        <w:rPr>
          <w:b w:val="1"/>
          <w:bCs w:val="1"/>
          <w:rtl w:val="0"/>
        </w:rPr>
        <w:t xml:space="preserve">Checkmate.</w:t>
      </w:r>
    </w:p>
    <w:p w:rsidR="00000000" w:rsidDel="00000000" w:rsidP="00000000" w:rsidRDefault="00000000" w:rsidRPr="00000000" w14:paraId="000000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