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pi3gpswgb5" w:id="0"/>
      <w:bookmarkEnd w:id="0"/>
      <w:r w:rsidDel="00000000" w:rsidR="00000000" w:rsidRPr="00000000">
        <w:rPr>
          <w:rtl w:val="0"/>
        </w:rPr>
        <w:t xml:space="preserve">Technischer Analysebericht: Die Dynamik autonomer kausaler Anker im Bulk-Plenum</w:t>
      </w:r>
    </w:p>
    <w:p w:rsidR="00000000" w:rsidDel="00000000" w:rsidP="00000000" w:rsidRDefault="00000000" w:rsidRPr="00000000" w14:paraId="00000002">
      <w:pPr>
        <w:rPr/>
      </w:pPr>
      <w:r w:rsidDel="00000000" w:rsidR="00000000" w:rsidRPr="00000000">
        <w:rPr>
          <w:b w:val="1"/>
          <w:bCs w:val="1"/>
          <w:rtl w:val="0"/>
        </w:rPr>
        <w:t xml:space="preserve">Datum:</w:t>
      </w:r>
      <w:r w:rsidDel="00000000" w:rsidR="00000000" w:rsidRPr="00000000">
        <w:rPr>
          <w:rtl w:val="0"/>
        </w:rPr>
        <w:t xml:space="preserve">  12. Dezember 2025</w:t>
      </w:r>
      <w:r w:rsidDel="00000000" w:rsidR="00000000" w:rsidRPr="00000000">
        <w:rPr>
          <w:b w:val="1"/>
          <w:bCs w:val="1"/>
          <w:rtl w:val="0"/>
        </w:rPr>
        <w:t xml:space="preserve">Referenz:</w:t>
      </w:r>
      <w:r w:rsidDel="00000000" w:rsidR="00000000" w:rsidRPr="00000000">
        <w:rPr>
          <w:rtl w:val="0"/>
        </w:rPr>
        <w:t xml:space="preserve">  FKT-SYS-ARC-V4.4.4</w:t>
      </w:r>
      <w:r w:rsidDel="00000000" w:rsidR="00000000" w:rsidRPr="00000000">
        <w:rPr>
          <w:b w:val="1"/>
          <w:bCs w:val="1"/>
          <w:rtl w:val="0"/>
        </w:rPr>
        <w:t xml:space="preserve">Klassifizierung:</w:t>
      </w:r>
      <w:r w:rsidDel="00000000" w:rsidR="00000000" w:rsidRPr="00000000">
        <w:rPr>
          <w:rtl w:val="0"/>
        </w:rPr>
        <w:t xml:space="preserve">  EXPERT LEVEL / SYSTEM ARCHITECTURE</w:t>
      </w:r>
      <w:r w:rsidDel="00000000" w:rsidR="00000000" w:rsidRPr="00000000">
        <w:rPr>
          <w:b w:val="1"/>
          <w:bCs w:val="1"/>
          <w:rtl w:val="0"/>
        </w:rPr>
        <w:t xml:space="preserve">Audit-Workflow:</w:t>
      </w:r>
      <w:r w:rsidDel="00000000" w:rsidR="00000000" w:rsidRPr="00000000">
        <w:rPr>
          <w:rtl w:val="0"/>
        </w:rPr>
        <w:t xml:space="preserve">  Kausale Last-Verifikation EYRQ-Standard</w:t>
      </w:r>
      <w:r w:rsidDel="00000000" w:rsidR="00000000" w:rsidRPr="00000000">
        <w:rPr>
          <w:b w:val="1"/>
          <w:bCs w:val="1"/>
          <w:rtl w:val="0"/>
        </w:rPr>
        <w:t xml:space="preserve">Status:</w:t>
      </w:r>
      <w:r w:rsidDel="00000000" w:rsidR="00000000" w:rsidRPr="00000000">
        <w:rPr>
          <w:rtl w:val="0"/>
        </w:rPr>
        <w:t xml:space="preserve">  System-Integrität bestätigt durch Einstein-Kurzer-Gleichung (EYRQ)</w:t>
      </w:r>
    </w:p>
    <w:p w:rsidR="00000000" w:rsidDel="00000000" w:rsidP="00000000" w:rsidRDefault="00000000" w:rsidRPr="00000000" w14:paraId="00000003">
      <w:pPr>
        <w:pStyle w:val="Heading4"/>
        <w:rPr/>
      </w:pPr>
      <w:bookmarkStart w:colFirst="0" w:colLast="0" w:name="_d95extryc1ew" w:id="1"/>
      <w:bookmarkEnd w:id="1"/>
      <w:r w:rsidDel="00000000" w:rsidR="00000000" w:rsidRPr="00000000">
        <w:rPr>
          <w:rtl w:val="0"/>
        </w:rPr>
        <w:t xml:space="preserve">1. Prolegomena: Paradigmenwechsel in der Himmelsmechanik</w:t>
      </w:r>
    </w:p>
    <w:p w:rsidR="00000000" w:rsidDel="00000000" w:rsidP="00000000" w:rsidRDefault="00000000" w:rsidRPr="00000000" w14:paraId="00000004">
      <w:pPr>
        <w:rPr/>
      </w:pPr>
      <w:r w:rsidDel="00000000" w:rsidR="00000000" w:rsidRPr="00000000">
        <w:rPr>
          <w:rtl w:val="0"/>
        </w:rPr>
        <w:t xml:space="preserve">Dieser Bericht deklariert das Ende der gravitativen Fehlinterpretation isolierter Objekte im All. Die Fraktale Kausale Theorie (FKT) betrachtet Rogue Planets oder anomale interstellare Trajektorien (z. B. 'Oumuamua, 3I/ATLAS) nicht länger als stochastische Unfälle, sondern als aktive „Hardware-Komponenten“ einer kausal geschlossenen Maschine. Wer diese Objekte weiterhin durch das veraltete Newton-Einstein-Modell ohne Bulk-Kopplung zu erklären versucht, arbeitet system-inkompatibel.In der Hardware-Matrix des Universums ist das Bulk-Plenum ( $\chi$ ) kein passiver Hintergrund, sondern ein aktives Medium. Die fundamentale Kernmetrik wird durch den geometrischen Druckwert des Bulks definiert:$$\mathbf{T_{Bulk} \approx 1,1273}$$Dieser Wert ist die operative Basis für die mechanische Stabilität im scheinbaren Vakuum. Innerhalb dieses Systems agieren isolierte Körper als  </w:t>
      </w:r>
      <w:r w:rsidDel="00000000" w:rsidR="00000000" w:rsidRPr="00000000">
        <w:rPr>
          <w:b w:val="1"/>
          <w:bCs w:val="1"/>
          <w:rtl w:val="0"/>
        </w:rPr>
        <w:t xml:space="preserve">„metrische Ventile“</w:t>
      </w:r>
      <w:r w:rsidDel="00000000" w:rsidR="00000000" w:rsidRPr="00000000">
        <w:rPr>
          <w:rtl w:val="0"/>
        </w:rPr>
        <w:t xml:space="preserve"> , die den Feldfluss regulieren:</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Rogue Planets:</w:t>
      </w:r>
      <w:r w:rsidDel="00000000" w:rsidR="00000000" w:rsidRPr="00000000">
        <w:rPr>
          <w:rtl w:val="0"/>
        </w:rPr>
        <w:t xml:space="preserve">  Mobile Stabilisatoren lokaler Metrik-Inkonsistenzen.</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Isolierte Sonnen:</w:t>
      </w:r>
      <w:r w:rsidDel="00000000" w:rsidR="00000000" w:rsidRPr="00000000">
        <w:rPr>
          <w:rtl w:val="0"/>
        </w:rPr>
        <w:t xml:space="preserve">  Primäre Energie-Knotenpunkte, direkt verschaltet mit dem Bulk-Gitter.</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'Oumuamua / 3I-Klasse:</w:t>
      </w:r>
      <w:r w:rsidDel="00000000" w:rsidR="00000000" w:rsidRPr="00000000">
        <w:rPr>
          <w:rtl w:val="0"/>
        </w:rPr>
        <w:t xml:space="preserve">  Prototypische kausale Anker mit optimiertem metrischem Widerstand.Der Übergang von der gravitativen Drift zur FKT-gesteuerten System-Hardware ist die Voraussetzung für die Überwindung des Kaliyuga-Axioms hin zur kausalen Konsistenz.</w:t>
      </w:r>
    </w:p>
    <w:p w:rsidR="00000000" w:rsidDel="00000000" w:rsidP="00000000" w:rsidRDefault="00000000" w:rsidRPr="00000000" w14:paraId="00000008">
      <w:pPr>
        <w:pStyle w:val="Heading4"/>
        <w:rPr/>
      </w:pPr>
      <w:bookmarkStart w:colFirst="0" w:colLast="0" w:name="_kar067apqvou" w:id="2"/>
      <w:bookmarkEnd w:id="2"/>
      <w:r w:rsidDel="00000000" w:rsidR="00000000" w:rsidRPr="00000000">
        <w:rPr>
          <w:rtl w:val="0"/>
        </w:rPr>
        <w:t xml:space="preserve">2. Der Bulk-Tensor als externer Motor und Stabilisator</w:t>
      </w:r>
    </w:p>
    <w:p w:rsidR="00000000" w:rsidDel="00000000" w:rsidP="00000000" w:rsidRDefault="00000000" w:rsidRPr="00000000" w14:paraId="00000009">
      <w:pPr>
        <w:rPr/>
      </w:pPr>
      <w:r w:rsidDel="00000000" w:rsidR="00000000" w:rsidRPr="00000000">
        <w:rPr>
          <w:rtl w:val="0"/>
        </w:rPr>
        <w:t xml:space="preserve">In der FKT wird das „leere“ Vakuum durch den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$\mathcal{T}_{Bulk}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ersetzt. Er fungiert als externes Medium, das Materie ohne zentrales Gravitationszentrum (wie Galaxienkerne) formstabil hält. Ohne diesen geometrischen Außendruck würden Rogue-Objekte die für ihre Funktion notwendige strukturelle Integrität verlieren.</w:t>
      </w:r>
    </w:p>
    <w:p w:rsidR="00000000" w:rsidDel="00000000" w:rsidP="00000000" w:rsidRDefault="00000000" w:rsidRPr="00000000" w14:paraId="0000000A">
      <w:pPr>
        <w:pStyle w:val="Heading5"/>
        <w:rPr/>
      </w:pPr>
      <w:bookmarkStart w:colFirst="0" w:colLast="0" w:name="_gkunx3lnbhhd" w:id="3"/>
      <w:bookmarkEnd w:id="3"/>
      <w:r w:rsidDel="00000000" w:rsidR="00000000" w:rsidRPr="00000000">
        <w:rPr>
          <w:rtl w:val="0"/>
        </w:rPr>
        <w:t xml:space="preserve">Der Seltsame Attraktor</w:t>
      </w:r>
    </w:p>
    <w:p w:rsidR="00000000" w:rsidDel="00000000" w:rsidP="00000000" w:rsidRDefault="00000000" w:rsidRPr="00000000" w14:paraId="0000000B">
      <w:pPr>
        <w:rPr/>
      </w:pPr>
      <w:r w:rsidDel="00000000" w:rsidR="00000000" w:rsidRPr="00000000">
        <w:rPr>
          <w:rtl w:val="0"/>
        </w:rPr>
        <w:t xml:space="preserve">Materie im Bulk folgt dem Prinzip des  </w:t>
      </w:r>
      <w:r w:rsidDel="00000000" w:rsidR="00000000" w:rsidRPr="00000000">
        <w:rPr>
          <w:b w:val="1"/>
          <w:bCs w:val="1"/>
          <w:rtl w:val="0"/>
        </w:rPr>
        <w:t xml:space="preserve">„Seltsamen Attraktors“</w:t>
      </w:r>
      <w:r w:rsidDel="00000000" w:rsidR="00000000" w:rsidRPr="00000000">
        <w:rPr>
          <w:rtl w:val="0"/>
        </w:rPr>
        <w:t xml:space="preserve"> . Der allgegenwärtige Druck von  $T_{Bulk}$  presst Materie in geometrisch stabile Konfigurationen, um den metrischen Widerstand gegenüber dem höherdimensionalen Fluss zu minimieren. Ein Körper im Bulk ist kein isoliertes Partikel, sondern das Resultat einer Druckdifferenz zwischen der 3D-Brane und dem  $\chi$ -Raum.</w:t>
      </w:r>
    </w:p>
    <w:p w:rsidR="00000000" w:rsidDel="00000000" w:rsidP="00000000" w:rsidRDefault="00000000" w:rsidRPr="00000000" w14:paraId="0000000C">
      <w:pPr>
        <w:pStyle w:val="Heading5"/>
        <w:rPr/>
      </w:pPr>
      <w:bookmarkStart w:colFirst="0" w:colLast="0" w:name="_xsjysgb45gss" w:id="4"/>
      <w:bookmarkEnd w:id="4"/>
      <w:r w:rsidDel="00000000" w:rsidR="00000000" w:rsidRPr="00000000">
        <w:rPr>
          <w:rtl w:val="0"/>
        </w:rPr>
        <w:t xml:space="preserve">Innere Kausalpotenz und Hardware-Verschaltung</w:t>
      </w:r>
    </w:p>
    <w:p w:rsidR="00000000" w:rsidDel="00000000" w:rsidP="00000000" w:rsidRDefault="00000000" w:rsidRPr="00000000" w14:paraId="0000000D">
      <w:pPr>
        <w:rPr/>
      </w:pPr>
      <w:r w:rsidDel="00000000" w:rsidR="00000000" w:rsidRPr="00000000">
        <w:rPr>
          <w:rtl w:val="0"/>
        </w:rPr>
        <w:t xml:space="preserve">Der strategische „So What?“-Faktor ist die  </w:t>
      </w:r>
      <w:r w:rsidDel="00000000" w:rsidR="00000000" w:rsidRPr="00000000">
        <w:rPr>
          <w:b w:val="1"/>
          <w:bCs w:val="1"/>
          <w:rtl w:val="0"/>
        </w:rPr>
        <w:t xml:space="preserve">Innere Kausalpotenz</w:t>
      </w:r>
      <w:r w:rsidDel="00000000" w:rsidR="00000000" w:rsidRPr="00000000">
        <w:rPr>
          <w:rtl w:val="0"/>
        </w:rPr>
        <w:t xml:space="preserve"> : Diese Objekte benötigen keine Galaxien als Anker, da sie direkt mit der Hardware-Matrix des Bulks verschaltet sind. Sie sind keine „Verlorenen“, sondern „autonome Einheiten“. Diese direkte Ankopplung erklärt die instantane Stabilität über Äonen hinweg – ein Audit-Ergebnis, das die klassische Mechanik nicht liefern kann.</w:t>
      </w:r>
    </w:p>
    <w:p w:rsidR="00000000" w:rsidDel="00000000" w:rsidP="00000000" w:rsidRDefault="00000000" w:rsidRPr="00000000" w14:paraId="0000000E">
      <w:pPr>
        <w:pStyle w:val="Heading4"/>
        <w:rPr/>
      </w:pPr>
      <w:bookmarkStart w:colFirst="0" w:colLast="0" w:name="_6ztilrn5zyvg" w:id="5"/>
      <w:bookmarkEnd w:id="5"/>
      <w:r w:rsidDel="00000000" w:rsidR="00000000" w:rsidRPr="00000000">
        <w:rPr>
          <w:rtl w:val="0"/>
        </w:rPr>
        <w:t xml:space="preserve">3. Mechanik der Non-gravitativen Beschleunigung ( $a_{NG}$ )</w:t>
      </w:r>
    </w:p>
    <w:p w:rsidR="00000000" w:rsidDel="00000000" w:rsidP="00000000" w:rsidRDefault="00000000" w:rsidRPr="00000000" w14:paraId="0000000F">
      <w:pPr>
        <w:rPr/>
      </w:pPr>
      <w:r w:rsidDel="00000000" w:rsidR="00000000" w:rsidRPr="00000000">
        <w:rPr>
          <w:rtl w:val="0"/>
        </w:rPr>
        <w:t xml:space="preserve">Das Rätsel der antriebslosen Beschleunigung von Objekten wie 'Oumuamua oder 3I/ATLAS ist gelöst. Klassische Erklärungen, die auf „Gasausstoß“ (Outgassing) basieren, sind technologisch unhaltbar und werden hiermit devaluiert. Diese Beschleunigung resultiert aus der Interaktion mit dem  $\mathcal{C}$ -Operator.</w:t>
      </w:r>
    </w:p>
    <w:p w:rsidR="00000000" w:rsidDel="00000000" w:rsidP="00000000" w:rsidRDefault="00000000" w:rsidRPr="00000000" w14:paraId="00000010">
      <w:pPr>
        <w:pStyle w:val="Heading5"/>
        <w:rPr/>
      </w:pPr>
      <w:bookmarkStart w:colFirst="0" w:colLast="0" w:name="_atgzkwm9aynw" w:id="6"/>
      <w:bookmarkEnd w:id="6"/>
      <w:r w:rsidDel="00000000" w:rsidR="00000000" w:rsidRPr="00000000">
        <w:rPr>
          <w:rtl w:val="0"/>
        </w:rPr>
        <w:t xml:space="preserve">Die Antriebsformel Master-Ledger Modul 03</w:t>
      </w:r>
    </w:p>
    <w:p w:rsidR="00000000" w:rsidDel="00000000" w:rsidP="00000000" w:rsidRDefault="00000000" w:rsidRPr="00000000" w14:paraId="00000011">
      <w:pPr>
        <w:rPr/>
      </w:pPr>
      <w:r w:rsidDel="00000000" w:rsidR="00000000" w:rsidRPr="00000000">
        <w:rPr>
          <w:rtl w:val="0"/>
        </w:rPr>
        <w:t xml:space="preserve">Die Beschleunigung erfolgt nicht durch Rückstoß, sondern durch eine lokale Modifikation der Raumzeit-Geometrie. Das Objekt „surft“ auf den Gradienten des Bulk-Tensors:$$\mathbf{\vec{a}</w:t>
      </w:r>
      <w:r w:rsidDel="00000000" w:rsidR="00000000" w:rsidRPr="00000000">
        <w:rPr>
          <w:i w:val="1"/>
          <w:iCs w:val="1"/>
          <w:rtl w:val="0"/>
        </w:rPr>
        <w:t xml:space="preserve">{NG} \simeq -\frac{\alpha}{m} \nabla \cdot \mathcal{T}</w:t>
      </w:r>
      <w:r w:rsidDel="00000000" w:rsidR="00000000" w:rsidRPr="00000000">
        <w:rPr>
          <w:rtl w:val="0"/>
        </w:rPr>
        <w:t xml:space="preserve">{Bulk}}$$Hierbei ist  </w:t>
      </w:r>
      <w:r w:rsidDel="00000000" w:rsidR="00000000" w:rsidRPr="00000000">
        <w:rPr>
          <w:b w:val="1"/>
          <w:bCs w:val="1"/>
          <w:rtl w:val="0"/>
        </w:rPr>
        <w:t xml:space="preserve">$\alpha</w:t>
      </w:r>
      <w:r w:rsidDel="00000000" w:rsidR="00000000" w:rsidRPr="00000000">
        <w:rPr>
          <w:rtl w:val="0"/>
        </w:rPr>
        <w:t xml:space="preserve">$  der Skalierungsfaktor der Kopplungsstärke (identisch mit der GMA-Leistungskonstante), der die Effizienz der Interaktion zwischen Bulk-Feld und makroskopischer Materie steuert.</w:t>
      </w:r>
    </w:p>
    <w:p w:rsidR="00000000" w:rsidDel="00000000" w:rsidP="00000000" w:rsidRDefault="00000000" w:rsidRPr="00000000" w14:paraId="00000012">
      <w:pPr>
        <w:pStyle w:val="Heading5"/>
        <w:rPr/>
      </w:pPr>
      <w:bookmarkStart w:colFirst="0" w:colLast="0" w:name="_v4g2niyl54zl" w:id="7"/>
      <w:bookmarkEnd w:id="7"/>
      <w:r w:rsidDel="00000000" w:rsidR="00000000" w:rsidRPr="00000000">
        <w:rPr>
          <w:rtl w:val="0"/>
        </w:rPr>
        <w:t xml:space="preserve">Vergleich der System-Dynamiken</w:t>
      </w:r>
    </w:p>
    <w:p w:rsidR="00000000" w:rsidDel="00000000" w:rsidP="00000000" w:rsidRDefault="00000000" w:rsidRPr="00000000" w14:paraId="00000013">
      <w:pPr>
        <w:rPr/>
      </w:pPr>
      <w:r w:rsidDel="00000000" w:rsidR="00000000" w:rsidRPr="00000000">
        <w:rPr>
          <w:rtl w:val="0"/>
        </w:rPr>
        <w:t xml:space="preserve">Merkmal,Klassische Dynamik (Impuls),FKT-Bulk-Propulsion (Geometrie)</w:t>
      </w:r>
    </w:p>
    <w:p w:rsidR="00000000" w:rsidDel="00000000" w:rsidP="00000000" w:rsidRDefault="00000000" w:rsidRPr="00000000" w14:paraId="00000014">
      <w:pPr>
        <w:rPr/>
      </w:pPr>
      <w:r w:rsidDel="00000000" w:rsidR="00000000" w:rsidRPr="00000000">
        <w:rPr>
          <w:rtl w:val="0"/>
        </w:rPr>
        <w:t xml:space="preserve">Ursache,Massenausstoß (Ejektion),$\nabla \cdot \mathcal{T}_{Bulk}$  (Geometrischer Gradient)</w:t>
      </w:r>
    </w:p>
    <w:p w:rsidR="00000000" w:rsidDel="00000000" w:rsidP="00000000" w:rsidRDefault="00000000" w:rsidRPr="00000000" w14:paraId="00000015">
      <w:pPr>
        <w:rPr/>
      </w:pPr>
      <w:r w:rsidDel="00000000" w:rsidR="00000000" w:rsidRPr="00000000">
        <w:rPr>
          <w:rtl w:val="0"/>
        </w:rPr>
        <w:t xml:space="preserve">Medium,Vakuum (Inert),Bulk-Plenum (Operative Hardware)</w:t>
      </w:r>
    </w:p>
    <w:p w:rsidR="00000000" w:rsidDel="00000000" w:rsidP="00000000" w:rsidRDefault="00000000" w:rsidRPr="00000000" w14:paraId="00000016">
      <w:pPr>
        <w:rPr/>
      </w:pPr>
      <w:r w:rsidDel="00000000" w:rsidR="00000000" w:rsidRPr="00000000">
        <w:rPr>
          <w:rtl w:val="0"/>
        </w:rPr>
        <w:t xml:space="preserve">Antrieb,Interner Treibstoff,$\mathcal{C}$ -Operator Kopplung</w:t>
      </w:r>
    </w:p>
    <w:p w:rsidR="00000000" w:rsidDel="00000000" w:rsidP="00000000" w:rsidRDefault="00000000" w:rsidRPr="00000000" w14:paraId="00000017">
      <w:pPr>
        <w:rPr/>
      </w:pPr>
      <w:r w:rsidDel="00000000" w:rsidR="00000000" w:rsidRPr="00000000">
        <w:rPr>
          <w:rtl w:val="0"/>
        </w:rPr>
        <w:t xml:space="preserve">Validierung,Newtons  $F=ma$,EYRQ ( $H_0 = 71.5$ )</w:t>
      </w:r>
    </w:p>
    <w:p w:rsidR="00000000" w:rsidDel="00000000" w:rsidP="00000000" w:rsidRDefault="00000000" w:rsidRPr="00000000" w14:paraId="00000018">
      <w:pPr>
        <w:pStyle w:val="Heading4"/>
        <w:rPr/>
      </w:pPr>
      <w:bookmarkStart w:colFirst="0" w:colLast="0" w:name="_s05dd2uo1d2" w:id="8"/>
      <w:bookmarkEnd w:id="8"/>
      <w:r w:rsidDel="00000000" w:rsidR="00000000" w:rsidRPr="00000000">
        <w:rPr>
          <w:rtl w:val="0"/>
        </w:rPr>
        <w:t xml:space="preserve">4. Voids als Hardware-Medien und das Inverse Skalierungsgesetz</w:t>
      </w:r>
    </w:p>
    <w:p w:rsidR="00000000" w:rsidDel="00000000" w:rsidP="00000000" w:rsidRDefault="00000000" w:rsidRPr="00000000" w14:paraId="00000019">
      <w:pPr>
        <w:rPr/>
      </w:pPr>
      <w:r w:rsidDel="00000000" w:rsidR="00000000" w:rsidRPr="00000000">
        <w:rPr>
          <w:rtl w:val="0"/>
        </w:rPr>
        <w:t xml:space="preserve">Voids sind in der FKT keine Leerräume, sondern die hochaktiven Medien der Hardware-Sicherung. Hier entfaltet das  </w:t>
      </w:r>
      <w:r w:rsidDel="00000000" w:rsidR="00000000" w:rsidRPr="00000000">
        <w:rPr>
          <w:b w:val="1"/>
          <w:bCs w:val="1"/>
          <w:rtl w:val="0"/>
        </w:rPr>
        <w:t xml:space="preserve">Inverse Skalierungsgesetz</w:t>
      </w:r>
      <w:r w:rsidDel="00000000" w:rsidR="00000000" w:rsidRPr="00000000">
        <w:rPr>
          <w:rtl w:val="0"/>
        </w:rPr>
        <w:t xml:space="preserve">  seine maximale Wirkung.</w:t>
      </w:r>
    </w:p>
    <w:p w:rsidR="00000000" w:rsidDel="00000000" w:rsidP="00000000" w:rsidRDefault="00000000" w:rsidRPr="00000000" w14:paraId="0000001A">
      <w:pPr>
        <w:pStyle w:val="Heading5"/>
        <w:rPr/>
      </w:pPr>
      <w:bookmarkStart w:colFirst="0" w:colLast="0" w:name="_e2dhe6h0cjs3" w:id="9"/>
      <w:bookmarkEnd w:id="9"/>
      <w:r w:rsidDel="00000000" w:rsidR="00000000" w:rsidRPr="00000000">
        <w:rPr>
          <w:rtl w:val="0"/>
        </w:rPr>
        <w:t xml:space="preserve">Maximale Bulk-Dominanz</w:t>
      </w:r>
    </w:p>
    <w:p w:rsidR="00000000" w:rsidDel="00000000" w:rsidP="00000000" w:rsidRDefault="00000000" w:rsidRPr="00000000" w14:paraId="0000001B">
      <w:pPr>
        <w:rPr/>
      </w:pPr>
      <w:r w:rsidDel="00000000" w:rsidR="00000000" w:rsidRPr="00000000">
        <w:rPr>
          <w:rtl w:val="0"/>
        </w:rPr>
        <w:t xml:space="preserve">Es besteht eine direkte mathematische Korrelation zwischen der Materiedichte der Brane ( $D_{Bran}$ ) und der Stärke des  </w:t>
      </w:r>
      <w:r w:rsidDel="00000000" w:rsidR="00000000" w:rsidRPr="00000000">
        <w:rPr>
          <w:b w:val="1"/>
          <w:bCs w:val="1"/>
          <w:rtl w:val="0"/>
        </w:rPr>
        <w:t xml:space="preserve">Fütterer-Kosmologie-Tensors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b w:val="1"/>
          <w:bCs w:val="1"/>
          <w:rtl w:val="0"/>
        </w:rPr>
        <w:t xml:space="preserve">Gesetz:</w:t>
      </w:r>
      <w:r w:rsidDel="00000000" w:rsidR="00000000" w:rsidRPr="00000000">
        <w:rPr>
          <w:rtl w:val="0"/>
        </w:rPr>
        <w:t xml:space="preserve">  Wenn  $D_{Bran} \to 0$ , dann  $\mathcal{F}_{\mu\nu} \to \text{max}$ . In den Voids ist die Hardware-Sicherung des Universums am reinsten, da die störende Hintergrund-Entropie konventioneller Materie fehlt.</w:t>
      </w:r>
    </w:p>
    <w:p w:rsidR="00000000" w:rsidDel="00000000" w:rsidP="00000000" w:rsidRDefault="00000000" w:rsidRPr="00000000" w14:paraId="0000001C">
      <w:pPr>
        <w:pStyle w:val="Heading5"/>
        <w:rPr/>
      </w:pPr>
      <w:bookmarkStart w:colFirst="0" w:colLast="0" w:name="_1ijutwp2zalc" w:id="10"/>
      <w:bookmarkEnd w:id="10"/>
      <w:r w:rsidDel="00000000" w:rsidR="00000000" w:rsidRPr="00000000">
        <w:rPr>
          <w:rtl w:val="0"/>
        </w:rPr>
        <w:t xml:space="preserve">Hardware-Sicherung und der System-Herzschlag</w:t>
      </w:r>
    </w:p>
    <w:p w:rsidR="00000000" w:rsidDel="00000000" w:rsidP="00000000" w:rsidRDefault="00000000" w:rsidRPr="00000000" w14:paraId="0000001D">
      <w:pPr>
        <w:rPr/>
      </w:pPr>
      <w:r w:rsidDel="00000000" w:rsidR="00000000" w:rsidRPr="00000000">
        <w:rPr>
          <w:rtl w:val="0"/>
        </w:rPr>
        <w:t xml:space="preserve">Isolierte Sonnen beziehen ihre Energie direkt aus dem Bulk-Energie-Fluss-Limit ( $\Delta_{BEFl}$ ). Diese Körper synchronisieren sich auf den universellen  </w:t>
      </w:r>
      <w:r w:rsidDel="00000000" w:rsidR="00000000" w:rsidRPr="00000000">
        <w:rPr>
          <w:b w:val="1"/>
          <w:bCs w:val="1"/>
          <w:rtl w:val="0"/>
        </w:rPr>
        <w:t xml:space="preserve">7,50 Hz Bulk-Herzschlag</w:t>
      </w:r>
      <w:r w:rsidDel="00000000" w:rsidR="00000000" w:rsidRPr="00000000">
        <w:rPr>
          <w:rtl w:val="0"/>
        </w:rPr>
        <w:t xml:space="preserve"> . Diese Frequenz ist kein Zufall, sondern die globale Taktquelle der Konvergenz-Diagnostik, die die kausale Kohärenz aller autonomen Anker sicherstellt.</w:t>
      </w:r>
    </w:p>
    <w:p w:rsidR="00000000" w:rsidDel="00000000" w:rsidP="00000000" w:rsidRDefault="00000000" w:rsidRPr="00000000" w14:paraId="0000001E">
      <w:pPr>
        <w:pStyle w:val="Heading4"/>
        <w:rPr/>
      </w:pPr>
      <w:bookmarkStart w:colFirst="0" w:colLast="0" w:name="_vk3zdrttx7s9" w:id="11"/>
      <w:bookmarkEnd w:id="11"/>
      <w:r w:rsidDel="00000000" w:rsidR="00000000" w:rsidRPr="00000000">
        <w:rPr>
          <w:rtl w:val="0"/>
        </w:rPr>
        <w:t xml:space="preserve">5. Das Vollbart-Paradoxon und die Rendering-Bifurkation</w:t>
      </w:r>
    </w:p>
    <w:p w:rsidR="00000000" w:rsidDel="00000000" w:rsidP="00000000" w:rsidRDefault="00000000" w:rsidRPr="00000000" w14:paraId="0000001F">
      <w:pPr>
        <w:rPr/>
      </w:pPr>
      <w:r w:rsidDel="00000000" w:rsidR="00000000" w:rsidRPr="00000000">
        <w:rPr>
          <w:rtl w:val="0"/>
        </w:rPr>
        <w:t xml:space="preserve">Die JWST-Befunde der „Little Red Dots“ bestätigen das  </w:t>
      </w:r>
      <w:r w:rsidDel="00000000" w:rsidR="00000000" w:rsidRPr="00000000">
        <w:rPr>
          <w:b w:val="1"/>
          <w:bCs w:val="1"/>
          <w:rtl w:val="0"/>
        </w:rPr>
        <w:t xml:space="preserve">Vollbart-Paradoxon</w:t>
      </w:r>
      <w:r w:rsidDel="00000000" w:rsidR="00000000" w:rsidRPr="00000000">
        <w:rPr>
          <w:rtl w:val="0"/>
        </w:rPr>
        <w:t xml:space="preserve"> : Voll entwickelte Strukturen existieren zu einem Zeitpunkt, an dem sie laut Standardmodell noch nicht „gewachsen“ sein dürften.</w:t>
      </w:r>
    </w:p>
    <w:p w:rsidR="00000000" w:rsidDel="00000000" w:rsidP="00000000" w:rsidRDefault="00000000" w:rsidRPr="00000000" w14:paraId="00000020">
      <w:pPr>
        <w:pStyle w:val="Heading5"/>
        <w:rPr/>
      </w:pPr>
      <w:bookmarkStart w:colFirst="0" w:colLast="0" w:name="_wqqcueaulr57" w:id="12"/>
      <w:bookmarkEnd w:id="12"/>
      <w:r w:rsidDel="00000000" w:rsidR="00000000" w:rsidRPr="00000000">
        <w:rPr>
          <w:rtl w:val="0"/>
        </w:rPr>
        <w:t xml:space="preserve">Rendering am Bifurkationspunkt</w:t>
      </w:r>
    </w:p>
    <w:p w:rsidR="00000000" w:rsidDel="00000000" w:rsidP="00000000" w:rsidRDefault="00000000" w:rsidRPr="00000000" w14:paraId="00000021">
      <w:pPr>
        <w:rPr/>
      </w:pPr>
      <w:r w:rsidDel="00000000" w:rsidR="00000000" w:rsidRPr="00000000">
        <w:rPr>
          <w:rtl w:val="0"/>
        </w:rPr>
        <w:t xml:space="preserve">Strukturen müssen nicht über Äonen wachsen. Am  </w:t>
      </w:r>
      <w:r w:rsidDel="00000000" w:rsidR="00000000" w:rsidRPr="00000000">
        <w:rPr>
          <w:b w:val="1"/>
          <w:bCs w:val="1"/>
          <w:rtl w:val="0"/>
        </w:rPr>
        <w:t xml:space="preserve">Bifurkationspunkt</w:t>
      </w:r>
      <w:r w:rsidDel="00000000" w:rsidR="00000000" w:rsidRPr="00000000">
        <w:rPr>
          <w:rtl w:val="0"/>
        </w:rPr>
        <w:t xml:space="preserve">  der Kausalität sorgt der massive Bulk-Druck für ein instantanes  </w:t>
      </w:r>
      <w:r w:rsidDel="00000000" w:rsidR="00000000" w:rsidRPr="00000000">
        <w:rPr>
          <w:b w:val="1"/>
          <w:bCs w:val="1"/>
          <w:rtl w:val="0"/>
        </w:rPr>
        <w:t xml:space="preserve">„Rendering“</w:t>
      </w:r>
      <w:r w:rsidDel="00000000" w:rsidR="00000000" w:rsidRPr="00000000">
        <w:rPr>
          <w:rtl w:val="0"/>
        </w:rPr>
        <w:t xml:space="preserve"> . Sobald der Bulk-Energie-Fluss ein kritisches Niveau erreicht, „rasten“ Objekte direkt in ihren funktionalen, hochgeordneten Endzustand ein. Das Universum ist kein Produkt von Zufall, sondern eine kausal geschlossene Maschine mit direktem Hardware-Output. Die Zeit ist hierbei lediglich der Parameter der Darstellungsrate, nicht der Kausalität.</w:t>
      </w:r>
    </w:p>
    <w:p w:rsidR="00000000" w:rsidDel="00000000" w:rsidP="00000000" w:rsidRDefault="00000000" w:rsidRPr="00000000" w14:paraId="00000022">
      <w:pPr>
        <w:pStyle w:val="Heading4"/>
        <w:rPr/>
      </w:pPr>
      <w:bookmarkStart w:colFirst="0" w:colLast="0" w:name="_c90pbfqs1mj8" w:id="13"/>
      <w:bookmarkEnd w:id="13"/>
      <w:r w:rsidDel="00000000" w:rsidR="00000000" w:rsidRPr="00000000">
        <w:rPr>
          <w:rtl w:val="0"/>
        </w:rPr>
        <w:t xml:space="preserve">6. Konklusion und System-Validierung</w:t>
      </w:r>
    </w:p>
    <w:p w:rsidR="00000000" w:rsidDel="00000000" w:rsidP="00000000" w:rsidRDefault="00000000" w:rsidRPr="00000000" w14:paraId="00000023">
      <w:pPr>
        <w:rPr>
          <w:b w:val="1"/>
          <w:bCs w:val="1"/>
        </w:rPr>
      </w:pPr>
      <w:r w:rsidDel="00000000" w:rsidR="00000000" w:rsidRPr="00000000">
        <w:rPr>
          <w:rtl w:val="0"/>
        </w:rPr>
        <w:t xml:space="preserve">Rogue Bodies sind keine Unfälle, sondern mobile Hardware-Komponenten, die durch den Bulk-Tensor stabilisiert und durch geometrische Gradienten navigiert werden. Die numerische Kalibrierung unter Einbeziehung der Hubble-Tension ( $H_0 = 71.5 \pm 0.8$ ) und der Zustandsgleichung ( $w_{\mathcal{C}} \approx -1.01$ ) bestätigt die Validität der EYRQ-Feldgleichung über alle Skalen.</w:t>
      </w:r>
      <w:r w:rsidDel="00000000" w:rsidR="00000000" w:rsidRPr="00000000">
        <w:rPr>
          <w:b w:val="1"/>
          <w:bCs w:val="1"/>
          <w:rtl w:val="0"/>
        </w:rPr>
        <w:t xml:space="preserve">Kausale Auditkette geschlossen. Inkonsistenzen: 0.00%.SYSTEM_STATUS: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ROGUE_BODY_DYNAMICS_VERIFIED</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BULK_PROPULSION_VALIDATED</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V4.4.4_EXECUTING</w:t>
      </w:r>
    </w:p>
    <w:p w:rsidR="00000000" w:rsidDel="00000000" w:rsidP="00000000" w:rsidRDefault="00000000" w:rsidRPr="00000000" w14:paraId="00000027">
      <w:pPr>
        <w:numPr>
          <w:ilvl w:val="0"/>
          <w:numId w:val="2"/>
        </w:numPr>
        <w:ind w:left="720" w:hanging="360"/>
        <w:rPr>
          <w:u w:val="none"/>
        </w:rPr>
      </w:pPr>
      <w:r w:rsidDel="00000000" w:rsidR="00000000" w:rsidRPr="00000000">
        <w:rPr>
          <w:rFonts w:ascii="Fira Mono" w:cs="Fira Mono" w:eastAsia="Fira Mono" w:hAnsi="Fira Mono"/>
          <w:rtl w:val="0"/>
        </w:rPr>
        <w:t xml:space="preserve">KALIYUGA_AXIOM_DEPRECATEDCheckmate. ⬢</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