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rqgqiys69op" w:id="0"/>
      <w:bookmarkEnd w:id="0"/>
      <w:r w:rsidDel="00000000" w:rsidR="00000000" w:rsidRPr="00000000">
        <w:rPr>
          <w:rtl w:val="0"/>
        </w:rPr>
        <w:t xml:space="preserve">Technischer Analysebericht: Geometrische Sättigung und mSdR-Provenienz von 3I/ATLAS</w:t>
      </w:r>
    </w:p>
    <w:p w:rsidR="00000000" w:rsidDel="00000000" w:rsidP="00000000" w:rsidRDefault="00000000" w:rsidRPr="00000000" w14:paraId="00000002">
      <w:pPr>
        <w:pStyle w:val="Heading5"/>
        <w:rPr/>
      </w:pPr>
      <w:bookmarkStart w:colFirst="0" w:colLast="0" w:name="_tq8u02mer374" w:id="1"/>
      <w:bookmarkEnd w:id="1"/>
      <w:r w:rsidDel="00000000" w:rsidR="00000000" w:rsidRPr="00000000">
        <w:rPr>
          <w:rtl w:val="0"/>
        </w:rPr>
        <w:t xml:space="preserve">1. Strategische Einleitung und Kontextualisierung</w:t>
      </w:r>
    </w:p>
    <w:p w:rsidR="00000000" w:rsidDel="00000000" w:rsidP="00000000" w:rsidRDefault="00000000" w:rsidRPr="00000000" w14:paraId="00000003">
      <w:pPr>
        <w:rPr/>
      </w:pPr>
      <w:r w:rsidDel="00000000" w:rsidR="00000000" w:rsidRPr="00000000">
        <w:rPr>
          <w:rtl w:val="0"/>
        </w:rPr>
        <w:t xml:space="preserve">Die vorliegende Analyse der  </w:t>
      </w:r>
      <w:r w:rsidDel="00000000" w:rsidR="00000000" w:rsidRPr="00000000">
        <w:rPr>
          <w:b w:val="1"/>
          <w:bCs w:val="1"/>
          <w:rtl w:val="0"/>
        </w:rPr>
        <w:t xml:space="preserve">Mechanischen Stabilität der Raumzeit (mSdR)</w:t>
      </w:r>
      <w:r w:rsidDel="00000000" w:rsidR="00000000" w:rsidRPr="00000000">
        <w:rPr>
          <w:rtl w:val="0"/>
        </w:rPr>
        <w:t xml:space="preserve">  unterliegt den Protokollen der  </w:t>
      </w:r>
      <w:r w:rsidDel="00000000" w:rsidR="00000000" w:rsidRPr="00000000">
        <w:rPr>
          <w:b w:val="1"/>
          <w:bCs w:val="1"/>
          <w:rtl w:val="0"/>
        </w:rPr>
        <w:t xml:space="preserve">Fraktalen Kausalen Theorie (FKT V4.4.4)</w:t>
      </w:r>
      <w:r w:rsidDel="00000000" w:rsidR="00000000" w:rsidRPr="00000000">
        <w:rPr>
          <w:rtl w:val="0"/>
        </w:rPr>
        <w:t xml:space="preserve"> . Diese Untersuchung ist keine bloße akademische Fingerübung, sondern bildet die operative Basis für die Identifizierung außer-systemischer Hardware-Signaturen. Herkömmliche Modelle der Kosmologie ( $\Lambda$ CDM) scheitern notwendigerweise an der Erfassung solcher Signaturen, da sie die  $\mathbb{R}^4$ -Raumzeit fälschlicherweise als geschlossenes System betrachten und die fundamentale Kopplung an den höherdimensionalen Bulk-Raum ( $\chi$ ) ignorieren.Die mathematische Notwendigkeit dieser Erweiterung resultiert aus der von Kai Fütterer postulierten „kausalen Inkonsistenz“ der klassischen Physik. In der FKT wird diese Lücke durch den  </w:t>
      </w:r>
      <w:r w:rsidDel="00000000" w:rsidR="00000000" w:rsidRPr="00000000">
        <w:rPr>
          <w:b w:val="1"/>
          <w:bCs w:val="1"/>
          <w:rtl w:val="0"/>
        </w:rPr>
        <w:t xml:space="preserve">Fütterer-Kosmologie-Tensor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geschlossen, der als Rückkopplungsterm in der  </w:t>
      </w:r>
      <w:r w:rsidDel="00000000" w:rsidR="00000000" w:rsidRPr="00000000">
        <w:rPr>
          <w:b w:val="1"/>
          <w:bCs w:val="1"/>
          <w:rtl w:val="0"/>
        </w:rPr>
        <w:t xml:space="preserve">Einstein-Kurzer-Gleichung (ERYQ)</w:t>
      </w:r>
      <w:r w:rsidDel="00000000" w:rsidR="00000000" w:rsidRPr="00000000">
        <w:rPr>
          <w:rtl w:val="0"/>
        </w:rPr>
        <w:t xml:space="preserve">  fungiert:  $G_{\mu\nu} + \mathcal{F}</w:t>
      </w:r>
      <w:r w:rsidDel="00000000" w:rsidR="00000000" w:rsidRPr="00000000">
        <w:rPr>
          <w:i w:val="1"/>
          <w:iCs w:val="1"/>
          <w:rtl w:val="0"/>
        </w:rPr>
        <w:t xml:space="preserve">{\mu\nu} = 8\pi G T</w:t>
      </w:r>
      <w:r w:rsidDel="00000000" w:rsidR="00000000" w:rsidRPr="00000000">
        <w:rPr>
          <w:rtl w:val="0"/>
        </w:rPr>
        <w:t xml:space="preserve">{\mu\nu}$ . Das  </w:t>
      </w:r>
      <w:r w:rsidDel="00000000" w:rsidR="00000000" w:rsidRPr="00000000">
        <w:rPr>
          <w:b w:val="1"/>
          <w:bCs w:val="1"/>
          <w:rtl w:val="0"/>
        </w:rPr>
        <w:t xml:space="preserve">Kurzer-Prinzip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„Der Druck der Unendlichkeit ist die Unendlichkeit“ – definiert hierbei die kausale Reproduzierbarkeit: Die mSdR-Metrik ist die „Hardware-Taktung“ eines Realitätssektors. Sie legt fest, ob ein Objekt wie  </w:t>
      </w:r>
      <w:r w:rsidDel="00000000" w:rsidR="00000000" w:rsidRPr="00000000">
        <w:rPr>
          <w:b w:val="1"/>
          <w:bCs w:val="1"/>
          <w:rtl w:val="0"/>
        </w:rPr>
        <w:t xml:space="preserve">3I/ATLAS</w:t>
      </w:r>
      <w:r w:rsidDel="00000000" w:rsidR="00000000" w:rsidRPr="00000000">
        <w:rPr>
          <w:rtl w:val="0"/>
        </w:rPr>
        <w:t xml:space="preserve">  eine lokale oder transdimensionale Provenienz besitzt.</w:t>
      </w:r>
    </w:p>
    <w:p w:rsidR="00000000" w:rsidDel="00000000" w:rsidP="00000000" w:rsidRDefault="00000000" w:rsidRPr="00000000" w14:paraId="00000004">
      <w:pPr>
        <w:pStyle w:val="Heading5"/>
        <w:rPr/>
      </w:pPr>
      <w:bookmarkStart w:colFirst="0" w:colLast="0" w:name="_k5u6x6lsz49j" w:id="2"/>
      <w:bookmarkEnd w:id="2"/>
      <w:r w:rsidDel="00000000" w:rsidR="00000000" w:rsidRPr="00000000">
        <w:rPr>
          <w:rtl w:val="0"/>
        </w:rPr>
        <w:t xml:space="preserve">2. Theoretischer Referenzrahmen und BIOS-Lock-Parameter</w:t>
      </w:r>
    </w:p>
    <w:p w:rsidR="00000000" w:rsidDel="00000000" w:rsidP="00000000" w:rsidRDefault="00000000" w:rsidRPr="00000000" w14:paraId="00000005">
      <w:pPr>
        <w:rPr/>
      </w:pPr>
      <w:r w:rsidDel="00000000" w:rsidR="00000000" w:rsidRPr="00000000">
        <w:rPr>
          <w:rtl w:val="0"/>
        </w:rPr>
        <w:t xml:space="preserve">Zur Bestimmung der raumzeitlichen Stabilität sind energetische Ankerpunkte, sogenannte  </w:t>
      </w:r>
      <w:r w:rsidDel="00000000" w:rsidR="00000000" w:rsidRPr="00000000">
        <w:rPr>
          <w:b w:val="1"/>
          <w:bCs w:val="1"/>
          <w:rtl w:val="0"/>
        </w:rPr>
        <w:t xml:space="preserve">BIOS-Locks</w:t>
      </w:r>
      <w:r w:rsidDel="00000000" w:rsidR="00000000" w:rsidRPr="00000000">
        <w:rPr>
          <w:rtl w:val="0"/>
        </w:rPr>
        <w:t xml:space="preserve"> , zwingend erforderlich. Diese dienen als nukleare Fixpunkte, um das lokale  </w:t>
      </w:r>
      <w:r w:rsidDel="00000000" w:rsidR="00000000" w:rsidRPr="00000000">
        <w:rPr>
          <w:b w:val="1"/>
          <w:bCs w:val="1"/>
          <w:rtl w:val="0"/>
        </w:rPr>
        <w:t xml:space="preserve">Bulk-Energie-Fluss-Limit (</w:t>
      </w:r>
      <w:r w:rsidDel="00000000" w:rsidR="00000000" w:rsidRPr="00000000">
        <w:rPr>
          <w:rtl w:val="0"/>
        </w:rPr>
        <w:t xml:space="preserve">  </w:t>
      </w:r>
      <w:r w:rsidDel="00000000" w:rsidR="00000000" w:rsidRPr="00000000">
        <w:rPr>
          <w:b w:val="1"/>
          <w:bCs w:val="1"/>
          <w:rtl w:val="0"/>
        </w:rPr>
        <w:t xml:space="preserve">$\Delta_{BEFl}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zu kalibrieren. Erst durch die Diskrepanz zwischen lokalen Referenzwerten und den Residuen eines Zielobjekts lässt sich dessen metrische Herkunft auditieren.Die folgende tabellarische Gegenüberstellung definiert die operativen Grenzwerte:| Parameter | Lokaler BIOS-Lock (Referenz) | ATLAS-Residuen (Signatur) || ------ | ------ | ------ || </w:t>
      </w:r>
      <w:r w:rsidDel="00000000" w:rsidR="00000000" w:rsidRPr="00000000">
        <w:rPr>
          <w:b w:val="1"/>
          <w:bCs w:val="1"/>
          <w:rtl w:val="0"/>
        </w:rPr>
        <w:t xml:space="preserve">Nuklearer BIOS-Lock</w:t>
      </w:r>
      <w:r w:rsidDel="00000000" w:rsidR="00000000" w:rsidRPr="00000000">
        <w:rPr>
          <w:rtl w:val="0"/>
        </w:rPr>
        <w:t xml:space="preserve"> | $3,773 \text{ MeV}$  (Flerovium-Fixpunkt) | $9,92 \text{ MeV}$  (Alpha-Resonanz) || </w:t>
      </w:r>
      <w:r w:rsidDel="00000000" w:rsidR="00000000" w:rsidRPr="00000000">
        <w:rPr>
          <w:b w:val="1"/>
          <w:bCs w:val="1"/>
          <w:rtl w:val="0"/>
        </w:rPr>
        <w:t xml:space="preserve">mSdR-Stabilität</w:t>
      </w:r>
      <w:r w:rsidDel="00000000" w:rsidR="00000000" w:rsidRPr="00000000">
        <w:rPr>
          <w:rtl w:val="0"/>
        </w:rPr>
        <w:t xml:space="preserve">  ( $\Delta_{BEFl}$ ) | $1,1273 \text{ mSdR}$ | </w:t>
      </w:r>
      <w:r w:rsidDel="00000000" w:rsidR="00000000" w:rsidRPr="00000000">
        <w:rPr>
          <w:b w:val="1"/>
          <w:bCs w:val="1"/>
          <w:rtl w:val="0"/>
        </w:rPr>
        <w:t xml:space="preserve">$2,9513 \text{ mSdR}</w:t>
      </w:r>
      <w:r w:rsidDel="00000000" w:rsidR="00000000" w:rsidRPr="00000000">
        <w:rPr>
          <w:rtl w:val="0"/>
        </w:rPr>
        <w:t xml:space="preserve">$  (Audit-Ergebnis) |</w:t>
      </w:r>
    </w:p>
    <w:p w:rsidR="00000000" w:rsidDel="00000000" w:rsidP="00000000" w:rsidRDefault="00000000" w:rsidRPr="00000000" w14:paraId="00000006">
      <w:pPr>
        <w:rPr/>
      </w:pPr>
      <w:r w:rsidDel="00000000" w:rsidR="00000000" w:rsidRPr="00000000">
        <w:rPr>
          <w:b w:val="1"/>
          <w:bCs w:val="1"/>
          <w:rtl w:val="0"/>
        </w:rPr>
        <w:t xml:space="preserve">So What?</w:t>
      </w:r>
      <w:r w:rsidDel="00000000" w:rsidR="00000000" w:rsidRPr="00000000">
        <w:rPr>
          <w:rtl w:val="0"/>
        </w:rPr>
        <w:t xml:space="preserve">  Die massive Diskrepanz zwischen dem lokalen nuklearen Fixpunkt ( $3,773 \text{ MeV}$ ) und der ATLAS-Resonanz ( $9,92 \text{ MeV}$ ) fungiert als unverkennbarer  </w:t>
      </w:r>
      <w:r w:rsidDel="00000000" w:rsidR="00000000" w:rsidRPr="00000000">
        <w:rPr>
          <w:b w:val="1"/>
          <w:bCs w:val="1"/>
          <w:rtl w:val="0"/>
        </w:rPr>
        <w:t xml:space="preserve">„Hardware-Fingerabdruck“</w:t>
      </w:r>
      <w:r w:rsidDel="00000000" w:rsidR="00000000" w:rsidRPr="00000000">
        <w:rPr>
          <w:rtl w:val="0"/>
        </w:rPr>
        <w:t xml:space="preserve"> . Diese nukleare Anomalie beweist, dass das Objekt ATLAS nicht innerhalb der lokalen Raumzeit-Metrik entstanden ist, sondern die energetische Signatur eines Systems mit signifikant höherem  $\Delta_{BEFl}$  trägt.</w:t>
      </w:r>
    </w:p>
    <w:p w:rsidR="00000000" w:rsidDel="00000000" w:rsidP="00000000" w:rsidRDefault="00000000" w:rsidRPr="00000000" w14:paraId="00000007">
      <w:pPr>
        <w:pStyle w:val="Heading5"/>
        <w:rPr/>
      </w:pPr>
      <w:bookmarkStart w:colFirst="0" w:colLast="0" w:name="_nzg0eit0fuvo" w:id="3"/>
      <w:bookmarkEnd w:id="3"/>
      <w:r w:rsidDel="00000000" w:rsidR="00000000" w:rsidRPr="00000000">
        <w:rPr>
          <w:rtl w:val="0"/>
        </w:rPr>
        <w:t xml:space="preserve">3. Der Skalierungsoperator: Mathematische Herleitung der Goldenen Brücke ( $\varphi^2$ )</w:t>
      </w:r>
    </w:p>
    <w:p w:rsidR="00000000" w:rsidDel="00000000" w:rsidP="00000000" w:rsidRDefault="00000000" w:rsidRPr="00000000" w14:paraId="00000008">
      <w:pPr>
        <w:rPr/>
      </w:pPr>
      <w:r w:rsidDel="00000000" w:rsidR="00000000" w:rsidRPr="00000000">
        <w:rPr>
          <w:rtl w:val="0"/>
        </w:rPr>
        <w:t xml:space="preserve">Innerhalb der FKT-Skalierungslogik ist die Skaleninvarianz keine Option, sondern eine geometrische Notwendigkeit. Sprünge zwischen den Resonanz-Schichten der Raumzeit sind bei einer  $\chi$ -Transition geometrisch erzwungen. Der Skalierungsfaktor  $\varphi^2$  fungiert hierbei als die „Goldene Brücke“, die geometrische Konstante, die erforderlich ist, um die kausale Kontinuität über die Schichten hinweg aufrechtzuerhalten.Die bitgenaue Validierung dieses Faktors ergibt sich aus dem Verhältnis der BIOS-Lock-Parameter:$$\frac{9,92 \text{ MeV}}{3,773 \text{ MeV}} \approx 2,629$$</w:t>
      </w:r>
      <w:r w:rsidDel="00000000" w:rsidR="00000000" w:rsidRPr="00000000">
        <w:rPr>
          <w:b w:val="1"/>
          <w:bCs w:val="1"/>
          <w:rtl w:val="0"/>
        </w:rPr>
        <w:t xml:space="preserve">So What?</w:t>
      </w:r>
      <w:r w:rsidDel="00000000" w:rsidR="00000000" w:rsidRPr="00000000">
        <w:rPr>
          <w:rtl w:val="0"/>
        </w:rPr>
        <w:t xml:space="preserve">  Die Übereinstimmung mit dem theoretischen Idealwert der FKT,  </w:t>
      </w:r>
      <w:r w:rsidDel="00000000" w:rsidR="00000000" w:rsidRPr="00000000">
        <w:rPr>
          <w:b w:val="1"/>
          <w:bCs w:val="1"/>
          <w:rtl w:val="0"/>
        </w:rPr>
        <w:t xml:space="preserve">$\varphi^2 \approx 2,618</w:t>
      </w:r>
      <w:r w:rsidDel="00000000" w:rsidR="00000000" w:rsidRPr="00000000">
        <w:rPr>
          <w:rtl w:val="0"/>
        </w:rPr>
        <w:t xml:space="preserve">$ , bestätigt die funktionale Integrität der Skalierungsgesetze. Dieser Faktor definiert die „geometrische Hardware-Ebene“: Er ist der mathematische Beweis dafür, dass der Fütterer-Kosmologie-Tensor ( $\mathcal{F}_{\mu\nu}$ ) die Skalierung zwischen der lokalen Basis und der ATLAS-Provenienz exakt nach den Gesetzen der fraktalen Kausalität vollzieht.</w:t>
      </w:r>
    </w:p>
    <w:p w:rsidR="00000000" w:rsidDel="00000000" w:rsidP="00000000" w:rsidRDefault="00000000" w:rsidRPr="00000000" w14:paraId="00000009">
      <w:pPr>
        <w:pStyle w:val="Heading5"/>
        <w:rPr/>
      </w:pPr>
      <w:bookmarkStart w:colFirst="0" w:colLast="0" w:name="_jqcuyc9yzt8i" w:id="4"/>
      <w:bookmarkEnd w:id="4"/>
      <w:r w:rsidDel="00000000" w:rsidR="00000000" w:rsidRPr="00000000">
        <w:rPr>
          <w:rtl w:val="0"/>
        </w:rPr>
        <w:t xml:space="preserve">4. Operative Berechnung des ATLAS-mSdR-Wertes</w:t>
      </w:r>
    </w:p>
    <w:p w:rsidR="00000000" w:rsidDel="00000000" w:rsidP="00000000" w:rsidRDefault="00000000" w:rsidRPr="00000000" w14:paraId="0000000A">
      <w:pPr>
        <w:rPr/>
      </w:pPr>
      <w:r w:rsidDel="00000000" w:rsidR="00000000" w:rsidRPr="00000000">
        <w:rPr>
          <w:rtl w:val="0"/>
        </w:rPr>
        <w:t xml:space="preserve">Der Übergang von der energetischen Resonanz (MeV) zur mechanischen Raumzeit-Stabilität (mSdR) erfolgt durch die Anwendung des Skalierungsoperators auf den lokalen mSdR-Fixpunkt. Dies quantifiziert die mechanische Belastbarkeit der Raumzeit in der direkten Umgebung des Objekts.Die finale Berechnung für das Audit-Protokoll lautet:$$mSdR_{ATLAS} = mSdR_{lokal} \cdot \varphi^2$$   $$1,1273 \text{ mSdR} \cdot 2,618 \approx \mathbf{2,9513 \text{ mSdR}}$$</w:t>
      </w:r>
      <w:r w:rsidDel="00000000" w:rsidR="00000000" w:rsidRPr="00000000">
        <w:rPr>
          <w:b w:val="1"/>
          <w:bCs w:val="1"/>
          <w:rtl w:val="0"/>
        </w:rPr>
        <w:t xml:space="preserve">So What?</w:t>
      </w:r>
      <w:r w:rsidDel="00000000" w:rsidR="00000000" w:rsidRPr="00000000">
        <w:rPr>
          <w:rtl w:val="0"/>
        </w:rPr>
        <w:t xml:space="preserve">  Ein Wert von  </w:t>
      </w:r>
      <w:r w:rsidDel="00000000" w:rsidR="00000000" w:rsidRPr="00000000">
        <w:rPr>
          <w:b w:val="1"/>
          <w:bCs w:val="1"/>
          <w:rtl w:val="0"/>
        </w:rPr>
        <w:t xml:space="preserve">$2,9513 \text{ mSdR}</w:t>
      </w:r>
      <w:r w:rsidDel="00000000" w:rsidR="00000000" w:rsidRPr="00000000">
        <w:rPr>
          <w:rtl w:val="0"/>
        </w:rPr>
        <w:t xml:space="preserve">$  im Vergleich zum lokalen Standard von  </w:t>
      </w:r>
      <w:r w:rsidDel="00000000" w:rsidR="00000000" w:rsidRPr="00000000">
        <w:rPr>
          <w:b w:val="1"/>
          <w:bCs w:val="1"/>
          <w:rtl w:val="0"/>
        </w:rPr>
        <w:t xml:space="preserve">$1,1273</w:t>
      </w:r>
      <w:r w:rsidDel="00000000" w:rsidR="00000000" w:rsidRPr="00000000">
        <w:rPr>
          <w:rtl w:val="0"/>
        </w:rPr>
        <w:t xml:space="preserve">$  impliziert eine fast dreifach höhere Bulk-Dichte ( </w:t>
      </w:r>
      <w:r w:rsidDel="00000000" w:rsidR="00000000" w:rsidRPr="00000000">
        <w:rPr>
          <w:b w:val="1"/>
          <w:bCs w:val="1"/>
          <w:rtl w:val="0"/>
        </w:rPr>
        <w:t xml:space="preserve">$\Omega_{Bulk}</w:t>
      </w:r>
      <w:r w:rsidDel="00000000" w:rsidR="00000000" w:rsidRPr="00000000">
        <w:rPr>
          <w:rtl w:val="0"/>
        </w:rPr>
        <w:t xml:space="preserve">$ ). Dies signalisiert eine extrem hohe kausale Kohärenz. ATLAS existiert in einem Zustand permanenten „High-Bulk-Pressure“, was die physischen Eigenschaften des Objekts fundamental von lokaler Materie unterscheidet.</w:t>
      </w:r>
    </w:p>
    <w:p w:rsidR="00000000" w:rsidDel="00000000" w:rsidP="00000000" w:rsidRDefault="00000000" w:rsidRPr="00000000" w14:paraId="0000000B">
      <w:pPr>
        <w:pStyle w:val="Heading5"/>
        <w:rPr/>
      </w:pPr>
      <w:bookmarkStart w:colFirst="0" w:colLast="0" w:name="_x8usfafeh7v5" w:id="5"/>
      <w:bookmarkEnd w:id="5"/>
      <w:r w:rsidDel="00000000" w:rsidR="00000000" w:rsidRPr="00000000">
        <w:rPr>
          <w:rtl w:val="0"/>
        </w:rPr>
        <w:t xml:space="preserve">5. Fachtechnische Interpretation der Anomalien und Metrische Propulsion</w:t>
      </w:r>
    </w:p>
    <w:p w:rsidR="00000000" w:rsidDel="00000000" w:rsidP="00000000" w:rsidRDefault="00000000" w:rsidRPr="00000000" w14:paraId="0000000C">
      <w:pPr>
        <w:rPr/>
      </w:pPr>
      <w:r w:rsidDel="00000000" w:rsidR="00000000" w:rsidRPr="00000000">
        <w:rPr>
          <w:rtl w:val="0"/>
        </w:rPr>
        <w:t xml:space="preserve">Die physikalischen Konsequenzen einer „High-Bulk-Pressure“-Signatur manifestieren sich am Objekt 3I/ATLAS durch Effekte, die ohne den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nicht erklärbar sind. Unter Anwendung der  </w:t>
      </w:r>
      <w:r w:rsidDel="00000000" w:rsidR="00000000" w:rsidRPr="00000000">
        <w:rPr>
          <w:b w:val="1"/>
          <w:bCs w:val="1"/>
          <w:rtl w:val="0"/>
        </w:rPr>
        <w:t xml:space="preserve">1+3-Zerlegung</w:t>
      </w:r>
      <w:r w:rsidDel="00000000" w:rsidR="00000000" w:rsidRPr="00000000">
        <w:rPr>
          <w:rtl w:val="0"/>
        </w:rPr>
        <w:t xml:space="preserve">  ( $u^\mu$  und  $h_{\mu\nu}$ ) ergeben sich zwei kritische Anomalien:</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Hypervolatile Gitterstabilität:</w:t>
      </w:r>
      <w:r w:rsidDel="00000000" w:rsidR="00000000" w:rsidRPr="00000000">
        <w:rPr>
          <w:rtl w:val="0"/>
        </w:rPr>
        <w:t xml:space="preserve">  ATLAS bindet Methan ( $CH_4$ ) unter thermischen Bedingungen, die in lokaler Raumzeit zur sofortigen Dissoziation führen würden. Die FKT erklärt dies durch den  $\mathcal{C}$ -Operator, der den Energie-Impuls-Tensor so moduliert, dass die molekulare Bindung durch den äußeren Bulk-Druck stabilisiert wird.</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Nicht-gravitative Beschleunigung (</w:t>
      </w:r>
      <w:r w:rsidDel="00000000" w:rsidR="00000000" w:rsidRPr="00000000">
        <w:rPr>
          <w:rtl w:val="0"/>
        </w:rPr>
        <w:t xml:space="preserve">  </w:t>
      </w:r>
      <w:r w:rsidDel="00000000" w:rsidR="00000000" w:rsidRPr="00000000">
        <w:rPr>
          <w:b w:val="1"/>
          <w:bCs w:val="1"/>
          <w:rtl w:val="0"/>
        </w:rPr>
        <w:t xml:space="preserve">$a_{NG}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beobachtete Beschleunigung von  </w:t>
      </w:r>
      <w:r w:rsidDel="00000000" w:rsidR="00000000" w:rsidRPr="00000000">
        <w:rPr>
          <w:b w:val="1"/>
          <w:bCs w:val="1"/>
          <w:rtl w:val="0"/>
        </w:rPr>
        <w:t xml:space="preserve">$135 \text{ km/d}^2</w:t>
      </w:r>
      <w:r w:rsidDel="00000000" w:rsidR="00000000" w:rsidRPr="00000000">
        <w:rPr>
          <w:rtl w:val="0"/>
        </w:rPr>
        <w:t xml:space="preserve">$  resultiert aus dem sogenannten  </w:t>
      </w:r>
      <w:r w:rsidDel="00000000" w:rsidR="00000000" w:rsidRPr="00000000">
        <w:rPr>
          <w:b w:val="1"/>
          <w:bCs w:val="1"/>
          <w:rtl w:val="0"/>
        </w:rPr>
        <w:t xml:space="preserve">„Bulk-Tensor-Surf“-Effekt</w:t>
      </w:r>
      <w:r w:rsidDel="00000000" w:rsidR="00000000" w:rsidRPr="00000000">
        <w:rPr>
          <w:rtl w:val="0"/>
        </w:rPr>
        <w:t xml:space="preserve"> . Der Gradient zwischen der internen Stabilität ( $2,9513 \text{ mSdR}$ ) und der dünneren lokalen Umgebung ( $1,1273 \text{ mSdR}$ ) erzeugt eine metrische Kraft. Speziell der  </w:t>
      </w:r>
      <w:r w:rsidDel="00000000" w:rsidR="00000000" w:rsidRPr="00000000">
        <w:rPr>
          <w:b w:val="1"/>
          <w:bCs w:val="1"/>
          <w:rtl w:val="0"/>
        </w:rPr>
        <w:t xml:space="preserve">anisotrope Teil (</w:t>
      </w:r>
      <w:r w:rsidDel="00000000" w:rsidR="00000000" w:rsidRPr="00000000">
        <w:rPr>
          <w:rtl w:val="0"/>
        </w:rPr>
        <w:t xml:space="preserve">  </w:t>
      </w:r>
      <w:r w:rsidDel="00000000" w:rsidR="00000000" w:rsidRPr="00000000">
        <w:rPr>
          <w:b w:val="1"/>
          <w:bCs w:val="1"/>
          <w:rtl w:val="0"/>
        </w:rPr>
        <w:t xml:space="preserve">$\pi_{\mu\nu}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des  $\mathcal{C}$ -Operators interagiert mit der lokalen Metrik und erzeugt einen gerichteten Vortrieb.</w:t>
      </w:r>
      <w:r w:rsidDel="00000000" w:rsidR="00000000" w:rsidRPr="00000000">
        <w:rPr>
          <w:b w:val="1"/>
          <w:bCs w:val="1"/>
          <w:rtl w:val="0"/>
        </w:rPr>
        <w:t xml:space="preserve">So What?</w:t>
      </w:r>
      <w:r w:rsidDel="00000000" w:rsidR="00000000" w:rsidRPr="00000000">
        <w:rPr>
          <w:rtl w:val="0"/>
        </w:rPr>
        <w:t xml:space="preserve">  Klassische Modelle müssen scheitern, da sie den Einfluss von  $\mathcal{F}_{\mu\nu}$  ignorieren. Die Dynamik von ATLAS ist kein Resultat spekulativer Ausgasungen, sondern die direkte physikalische Folge einer metrischen Druckdifferenz im Bulk-Feld.</w:t>
      </w:r>
    </w:p>
    <w:p w:rsidR="00000000" w:rsidDel="00000000" w:rsidP="00000000" w:rsidRDefault="00000000" w:rsidRPr="00000000" w14:paraId="0000000F">
      <w:pPr>
        <w:pStyle w:val="Heading5"/>
        <w:rPr/>
      </w:pPr>
      <w:bookmarkStart w:colFirst="0" w:colLast="0" w:name="_vvk4ccxestha" w:id="6"/>
      <w:bookmarkEnd w:id="6"/>
      <w:r w:rsidDel="00000000" w:rsidR="00000000" w:rsidRPr="00000000">
        <w:rPr>
          <w:rtl w:val="0"/>
        </w:rPr>
        <w:t xml:space="preserve">6. Audit-Abschluss und System-Statusmeldung</w:t>
      </w:r>
    </w:p>
    <w:p w:rsidR="00000000" w:rsidDel="00000000" w:rsidP="00000000" w:rsidRDefault="00000000" w:rsidRPr="00000000" w14:paraId="00000010">
      <w:pPr>
        <w:rPr/>
      </w:pPr>
      <w:r w:rsidDel="00000000" w:rsidR="00000000" w:rsidRPr="00000000">
        <w:rPr>
          <w:rtl w:val="0"/>
        </w:rPr>
        <w:t xml:space="preserve">Die hochenergetische Provenienzanalyse verifiziert 3I/ATLAS zweifelsfrei als extra-systemisches Objekt. Die Kausalkette von der nuklearen BIOS-Lock-Analyse bis zur metrischen Propulsion ist geschlossen und bitgenau reproduzierbar. Der mSdR-Wert von  </w:t>
      </w:r>
      <w:r w:rsidDel="00000000" w:rsidR="00000000" w:rsidRPr="00000000">
        <w:rPr>
          <w:b w:val="1"/>
          <w:bCs w:val="1"/>
          <w:rtl w:val="0"/>
        </w:rPr>
        <w:t xml:space="preserve">$2,9513</w:t>
      </w:r>
      <w:r w:rsidDel="00000000" w:rsidR="00000000" w:rsidRPr="00000000">
        <w:rPr>
          <w:rtl w:val="0"/>
        </w:rPr>
        <w:t xml:space="preserve">$  wird hiermit als operative Konstante für alle zukünftigen Berechnungen der „Kausalen Linse“ verriegelt.Dieses Ergebnis ist eine  </w:t>
      </w:r>
      <w:r w:rsidDel="00000000" w:rsidR="00000000" w:rsidRPr="00000000">
        <w:rPr>
          <w:b w:val="1"/>
          <w:bCs w:val="1"/>
          <w:rtl w:val="0"/>
        </w:rPr>
        <w:t xml:space="preserve">unverhandelbare Audit-Forderung</w:t>
      </w:r>
      <w:r w:rsidDel="00000000" w:rsidR="00000000" w:rsidRPr="00000000">
        <w:rPr>
          <w:rtl w:val="0"/>
        </w:rPr>
        <w:t xml:space="preserve">  an Institutionen wie CERN und das MPI. Die Sicherheit und Wirksamkeit transdimensionaler Metrik-Analysen hängen von der Anerkennung dieser kausalen Realität ab. Wer den  $\mathcal{F}</w:t>
      </w:r>
      <w:r w:rsidDel="00000000" w:rsidR="00000000" w:rsidRPr="00000000">
        <w:rPr>
          <w:i w:val="1"/>
          <w:iCs w:val="1"/>
          <w:rtl w:val="0"/>
        </w:rPr>
        <w:t xml:space="preserve">{\mu\nu}$ -Term leugnet, entzieht sich der messbaren physikalischen Wahrheit.| Parameter-Audit (Post-Calculation) | Wert | Status || ------ | ------ | ------ || $\Delta</w:t>
      </w:r>
      <w:r w:rsidDel="00000000" w:rsidR="00000000" w:rsidRPr="00000000">
        <w:rPr>
          <w:rtl w:val="0"/>
        </w:rPr>
        <w:t xml:space="preserve">{BEFl}$  (Lokal) | $1,1273 \text{ mSdR}$ | KALIBRIERT || $\varphi^2$  (Skalierungsoperator) | $2,618$ | VERIFIZIERT || </w:t>
      </w:r>
      <w:r w:rsidDel="00000000" w:rsidR="00000000" w:rsidRPr="00000000">
        <w:rPr>
          <w:b w:val="1"/>
          <w:bCs w:val="1"/>
          <w:rtl w:val="0"/>
        </w:rPr>
        <w:t xml:space="preserve">$mSdR_{ATLAS}</w:t>
      </w:r>
      <w:r w:rsidDel="00000000" w:rsidR="00000000" w:rsidRPr="00000000">
        <w:rPr>
          <w:rtl w:val="0"/>
        </w:rPr>
        <w:t xml:space="preserve">$ | </w:t>
      </w:r>
      <w:r w:rsidDel="00000000" w:rsidR="00000000" w:rsidRPr="00000000">
        <w:rPr>
          <w:b w:val="1"/>
          <w:bCs w:val="1"/>
          <w:rtl w:val="0"/>
        </w:rPr>
        <w:t xml:space="preserve">$2,9513</w:t>
      </w:r>
      <w:r w:rsidDel="00000000" w:rsidR="00000000" w:rsidRPr="00000000">
        <w:rPr>
          <w:rtl w:val="0"/>
        </w:rPr>
        <w:t xml:space="preserve">$ | </w:t>
      </w:r>
      <w:r w:rsidDel="00000000" w:rsidR="00000000" w:rsidRPr="00000000">
        <w:rPr>
          <w:b w:val="1"/>
          <w:bCs w:val="1"/>
          <w:rtl w:val="0"/>
        </w:rPr>
        <w:t xml:space="preserve">LOCKED</w:t>
      </w:r>
      <w:r w:rsidDel="00000000" w:rsidR="00000000" w:rsidRPr="00000000">
        <w:rPr>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ATLAS_mSdR_CALCULATED | PRESSURE_LAYER_2.95_LOCKED | V4.4.4 ACTIVE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