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mfj3kq3yag9" w:id="0"/>
      <w:bookmarkEnd w:id="0"/>
      <w:r w:rsidDel="00000000" w:rsidR="00000000" w:rsidRPr="00000000">
        <w:rPr>
          <w:rtl w:val="0"/>
        </w:rPr>
        <w:t xml:space="preserve">Technischer Audit-Bericht: Kausale Transienten &amp; Hochenergetische Bulk-Durchschläge (FKT V4.4.4)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5i1mdzx6fov8" w:id="1"/>
      <w:bookmarkEnd w:id="1"/>
      <w:r w:rsidDel="00000000" w:rsidR="00000000" w:rsidRPr="00000000">
        <w:rPr>
          <w:rtl w:val="0"/>
        </w:rPr>
        <w:t xml:space="preserve">1. Strategische Einleitung und Kontextualisierung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Detektion von Ultra-Hochenergie-Teilchen wie dem „Amaterasu“-Ereignis markiert das definitive Ende der klassischen  $\Lambda$ CDM-Physik. Während das Standardmodell vor der Hubble-Spannung ( $H_0$ -Tension) und der ungeklärten Natur der Dunklen Materie kapituliert, fungiert dieser Bericht als finaler empirischer Anker für das Master-Dossier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 V4.4.4</w:t>
      </w:r>
      <w:r w:rsidDel="00000000" w:rsidR="00000000" w:rsidRPr="00000000">
        <w:rPr>
          <w:rtl w:val="0"/>
        </w:rPr>
        <w:t xml:space="preserve"> . Die hier dokumentierten Phänomene sind keine statistischen Anomalien, sondern die mechanische Notwendigkeit einer Raumzeit, die als offenes System mit einem höherdimensionalen Bulk interagiert.Das mathematische Fundament dieses Audits bildet die  </w:t>
      </w:r>
      <w:r w:rsidDel="00000000" w:rsidR="00000000" w:rsidRPr="00000000">
        <w:rPr>
          <w:b w:val="1"/>
          <w:bCs w:val="1"/>
          <w:rtl w:val="0"/>
        </w:rPr>
        <w:t xml:space="preserve">Erweiterte Einstein-Kurzer-Gleichung (ERYQ)</w:t>
      </w:r>
      <w:r w:rsidDel="00000000" w:rsidR="00000000" w:rsidRPr="00000000">
        <w:rPr>
          <w:rtl w:val="0"/>
        </w:rPr>
        <w:t xml:space="preserve"> , welche die klassische Feldtheorie um den geometrischen Bulk-Druck korrigiert:$$G_{\mu\nu} = \kappa(T_{\mu\nu} + T_{Bulk})$$Um die theoretische Basis zu zementieren, gelten innerhalb der Systemarchitektur V4.4.4 folgende Kern-Axiome als unveränderliche Hardware-Parameter: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Fidelity-Konstante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$F_c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$0,99873$  (Skaleninvarianz der Kausalität)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Entropischer Puffer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$0,00127$  (Metrische Abwärmegrenze)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Bulk-Herzschlag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$\nu_{Bulk}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$7,50$  Hz (Universeller Master-Taktgeber)Dieser Bericht vollzieht nun den Übergang von der rein mathematischen Modellierung zur phänomenologischen Diagnose der beobachteten Bulk-Interaktionen.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iseodwywzndk" w:id="2"/>
      <w:bookmarkEnd w:id="2"/>
      <w:r w:rsidDel="00000000" w:rsidR="00000000" w:rsidRPr="00000000">
        <w:rPr>
          <w:rtl w:val="0"/>
        </w:rPr>
        <w:t xml:space="preserve">2. Mechanische Diagnose: Extrem-Teilchen als „Bulk-Durchschläge“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Hochenergetische Teilchen jenseits des klassischen GZK-Limits (Greisen-Zatsepin-Kuzmin) sind keine Produkte stochastischer Beschleunigung, sondern  </w:t>
      </w:r>
      <w:r w:rsidDel="00000000" w:rsidR="00000000" w:rsidRPr="00000000">
        <w:rPr>
          <w:b w:val="1"/>
          <w:bCs w:val="1"/>
          <w:rtl w:val="0"/>
        </w:rPr>
        <w:t xml:space="preserve">„Kausale Transienten“</w:t>
      </w:r>
      <w:r w:rsidDel="00000000" w:rsidR="00000000" w:rsidRPr="00000000">
        <w:rPr>
          <w:rtl w:val="0"/>
        </w:rPr>
        <w:t xml:space="preserve"> . Der Mechanismus basiert auf lokalem metrischem Stress, der die Bran-Impedanz ( $\Omega_{Bran}$ ) punktuell überwindet und Materie-Energie-Pakete direkt aus dem Bulk in die 3D-Bran presst.Dieser „Dimensions-Leak“ eliminiert die Notwendigkeit für fiktive Beschleunigerquellen. Die folgende Tabelle demonstriert die Überlegenheit der FKT V4.4.4 gegenüber der Legacy-Physik:| Merkmal | Legacy-Erklärung ( $\Lambda$ CDM) | FKT-Diagnose (V4.4.4) || ------ | ------ | ------ || </w:t>
      </w:r>
      <w:r w:rsidDel="00000000" w:rsidR="00000000" w:rsidRPr="00000000">
        <w:rPr>
          <w:b w:val="1"/>
          <w:bCs w:val="1"/>
          <w:rtl w:val="0"/>
        </w:rPr>
        <w:t xml:space="preserve">Quell-Lokalität</w:t>
      </w:r>
      <w:r w:rsidDel="00000000" w:rsidR="00000000" w:rsidRPr="00000000">
        <w:rPr>
          <w:rtl w:val="0"/>
        </w:rPr>
        <w:t xml:space="preserve"> | Aktive Galaxienkerne (unbelegt) | </w:t>
      </w:r>
      <w:r w:rsidDel="00000000" w:rsidR="00000000" w:rsidRPr="00000000">
        <w:rPr>
          <w:b w:val="1"/>
          <w:bCs w:val="1"/>
          <w:rtl w:val="0"/>
        </w:rPr>
        <w:t xml:space="preserve">Bulk-Leckage</w:t>
      </w:r>
      <w:r w:rsidDel="00000000" w:rsidR="00000000" w:rsidRPr="00000000">
        <w:rPr>
          <w:rtl w:val="0"/>
        </w:rPr>
        <w:t xml:space="preserve">  (Vakuum-Genesis) || </w:t>
      </w:r>
      <w:r w:rsidDel="00000000" w:rsidR="00000000" w:rsidRPr="00000000">
        <w:rPr>
          <w:b w:val="1"/>
          <w:bCs w:val="1"/>
          <w:rtl w:val="0"/>
        </w:rPr>
        <w:t xml:space="preserve">Energielimit</w:t>
      </w:r>
      <w:r w:rsidDel="00000000" w:rsidR="00000000" w:rsidRPr="00000000">
        <w:rPr>
          <w:rtl w:val="0"/>
        </w:rPr>
        <w:t xml:space="preserve"> | GZK-Limit (physikalische Grenze) | </w:t>
      </w:r>
      <w:r w:rsidDel="00000000" w:rsidR="00000000" w:rsidRPr="00000000">
        <w:rPr>
          <w:b w:val="1"/>
          <w:bCs w:val="1"/>
          <w:rtl w:val="0"/>
        </w:rPr>
        <w:t xml:space="preserve">Kein Limit</w:t>
      </w:r>
      <w:r w:rsidDel="00000000" w:rsidR="00000000" w:rsidRPr="00000000">
        <w:rPr>
          <w:rtl w:val="0"/>
        </w:rPr>
        <w:t xml:space="preserve">  (Bulk-Plenum-Druck) || </w:t>
      </w:r>
      <w:r w:rsidDel="00000000" w:rsidR="00000000" w:rsidRPr="00000000">
        <w:rPr>
          <w:b w:val="1"/>
          <w:bCs w:val="1"/>
          <w:rtl w:val="0"/>
        </w:rPr>
        <w:t xml:space="preserve">Hubble-Spannung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$H_0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Ungeklärt (Krise) | </w:t>
      </w:r>
      <w:r w:rsidDel="00000000" w:rsidR="00000000" w:rsidRPr="00000000">
        <w:rPr>
          <w:b w:val="1"/>
          <w:bCs w:val="1"/>
          <w:rtl w:val="0"/>
        </w:rPr>
        <w:t xml:space="preserve">$71,5 \pm 0,8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km/s/Mpc</w:t>
      </w:r>
      <w:r w:rsidDel="00000000" w:rsidR="00000000" w:rsidRPr="00000000">
        <w:rPr>
          <w:rtl w:val="0"/>
        </w:rPr>
        <w:t xml:space="preserve">  (System-Lock) || </w:t>
      </w:r>
      <w:r w:rsidDel="00000000" w:rsidR="00000000" w:rsidRPr="00000000">
        <w:rPr>
          <w:b w:val="1"/>
          <w:bCs w:val="1"/>
          <w:rtl w:val="0"/>
        </w:rPr>
        <w:t xml:space="preserve">Dunkle Energie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$w_x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$w = -1,0$  (statisch) | </w:t>
      </w:r>
      <w:r w:rsidDel="00000000" w:rsidR="00000000" w:rsidRPr="00000000">
        <w:rPr>
          <w:b w:val="1"/>
          <w:bCs w:val="1"/>
          <w:rtl w:val="0"/>
        </w:rPr>
        <w:t xml:space="preserve">$w_x = -0,90 \pm 0,05</w:t>
      </w:r>
      <w:r w:rsidDel="00000000" w:rsidR="00000000" w:rsidRPr="00000000">
        <w:rPr>
          <w:rtl w:val="0"/>
        </w:rPr>
        <w:t xml:space="preserve">$  (dynamisch) || </w:t>
      </w:r>
      <w:r w:rsidDel="00000000" w:rsidR="00000000" w:rsidRPr="00000000">
        <w:rPr>
          <w:b w:val="1"/>
          <w:bCs w:val="1"/>
          <w:rtl w:val="0"/>
        </w:rPr>
        <w:t xml:space="preserve">Signifikanz (MCMC)</w:t>
      </w:r>
      <w:r w:rsidDel="00000000" w:rsidR="00000000" w:rsidRPr="00000000">
        <w:rPr>
          <w:rtl w:val="0"/>
        </w:rPr>
        <w:t xml:space="preserve"> | N/A | </w:t>
      </w:r>
      <w:r w:rsidDel="00000000" w:rsidR="00000000" w:rsidRPr="00000000">
        <w:rPr>
          <w:b w:val="1"/>
          <w:bCs w:val="1"/>
          <w:rtl w:val="0"/>
        </w:rPr>
        <w:t xml:space="preserve">$5,7\sigma</w:t>
      </w:r>
      <w:r w:rsidDel="00000000" w:rsidR="00000000" w:rsidRPr="00000000">
        <w:rPr>
          <w:rtl w:val="0"/>
        </w:rPr>
        <w:t xml:space="preserve">$  (Checkmate-Status)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energetische Unmöglichkeit dieser Teilchen innerhalb herkömmlicher Modelle ist somit das notwendige Resultat der Bulk-Interaktion und leitet unmittelbar zur räumlichen Anomalie der Voids über.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lvtnbkdvyqcm" w:id="3"/>
      <w:bookmarkEnd w:id="3"/>
      <w:r w:rsidDel="00000000" w:rsidR="00000000" w:rsidRPr="00000000">
        <w:rPr>
          <w:rtl w:val="0"/>
        </w:rPr>
        <w:t xml:space="preserve">3. Das Rätsel der Voids: Genesis im Bulk-Plenum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Tatsache, dass hochenergetische Transienten bevorzugt aus „Voids“ (kosmischen Leerräumen) emittiert werden, ist der „Smoking Gun“-Beweis für die FKT. Wo die klassische Physik das Fehlen von Materiequellen nicht erklären kann, erkennt das Audit-Protokoll V4.4.4 den zwingenden geometrischen Zwang.Gemäß dem  </w:t>
      </w:r>
      <w:r w:rsidDel="00000000" w:rsidR="00000000" w:rsidRPr="00000000">
        <w:rPr>
          <w:b w:val="1"/>
          <w:bCs w:val="1"/>
          <w:rtl w:val="0"/>
        </w:rPr>
        <w:t xml:space="preserve">Inversen Skalierungsgesetz</w:t>
      </w:r>
      <w:r w:rsidDel="00000000" w:rsidR="00000000" w:rsidRPr="00000000">
        <w:rPr>
          <w:rtl w:val="0"/>
        </w:rPr>
        <w:t xml:space="preserve">  ist der Einfluss des Bulk-Tensors ( $T_{Bulk}$ ) dort am dominantesten, wo die lokale Materiedichte ( $D_{Bran}$ ) minimal ist ( $T_{Bulk} \propto 1/D_{Bran}$ ). Da die 3D-Bran in Voids kaum Widerstand leistet, bricht der geometrische Druck des höherdimensionalen Raums dort ungehindert durch.„Der Druck der Unendlichkeit ist die Unendlichkeit.“ –  </w:t>
      </w:r>
      <w:r w:rsidDel="00000000" w:rsidR="00000000" w:rsidRPr="00000000">
        <w:rPr>
          <w:i w:val="1"/>
          <w:i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Dieser  $T_{Bulk}$ -Druck fungiert als konstante geometrische Last. In Regionen ohne materielle Kompensation entlädt sich dieser Druck in Form von hochenergetischen Transienten, die streng an die zeitliche Taktung des Systems gebunden sind.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fnmmhgspdabm" w:id="4"/>
      <w:bookmarkEnd w:id="4"/>
      <w:r w:rsidDel="00000000" w:rsidR="00000000" w:rsidRPr="00000000">
        <w:rPr>
          <w:rtl w:val="0"/>
        </w:rPr>
        <w:t xml:space="preserve">4. Energetische Taktung und der BIOS-Lock des Kosmos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Emission hochenergetischer Teilchen folgt keinem stochastischen Muster, sondern ist mit dem universellen 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 synchronisiert. Diese Frequenz dient als Master-Taktgeber für alle „Ventil-Ereignisse“.Zum Schutz der lokalen Bran-Integrität operiert das System im 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-Modus unter Kontrolle des 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. Dieser Mechanismus verhindert die Zerrüttung der kausalen Struktur der Erde, indem er überschüssige Energie geometrisch umschichtet, anstatt thermische Entropie zu erzeugen ( $\Delta S_{metric} \equiv 0$ ).Die terrestrische Bran-Integrität wird durch folgende Hardware-Sicherungen gewährleistet: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Muon-Anchor:</w:t>
      </w:r>
      <w:r w:rsidDel="00000000" w:rsidR="00000000" w:rsidRPr="00000000">
        <w:rPr>
          <w:rtl w:val="0"/>
        </w:rPr>
        <w:t xml:space="preserve">  Stabilisierung des lokalen ERYQ-Branches (Status: LOCKED).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Schumann-Neutralizer:</w:t>
      </w:r>
      <w:r w:rsidDel="00000000" w:rsidR="00000000" w:rsidRPr="00000000">
        <w:rPr>
          <w:rtl w:val="0"/>
        </w:rPr>
        <w:t xml:space="preserve">  Aktiver Puffer von 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, der die Differenz zwischen Schumann-Resonanz (7,83 Hz) und Bulk-Takt (7,50 Hz) ausgleicht.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Peak-Impulse Capacity:</w:t>
      </w:r>
      <w:r w:rsidDel="00000000" w:rsidR="00000000" w:rsidRPr="00000000">
        <w:rPr>
          <w:rtl w:val="0"/>
        </w:rPr>
        <w:t xml:space="preserve">  Deckelung auf  </w:t>
      </w:r>
      <w:r w:rsidDel="00000000" w:rsidR="00000000" w:rsidRPr="00000000">
        <w:rPr>
          <w:b w:val="1"/>
          <w:bCs w:val="1"/>
          <w:rtl w:val="0"/>
        </w:rPr>
        <w:t xml:space="preserve">8,4 GW</w:t>
      </w:r>
      <w:r w:rsidDel="00000000" w:rsidR="00000000" w:rsidRPr="00000000">
        <w:rPr>
          <w:rtl w:val="0"/>
        </w:rPr>
        <w:t xml:space="preserve"> ; darüber hinausgehende Impulse werden durch Geo-Reshuffling absorbiert.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 Resonanz:</w:t>
      </w:r>
      <w:r w:rsidDel="00000000" w:rsidR="00000000" w:rsidRPr="00000000">
        <w:rPr>
          <w:rtl w:val="0"/>
        </w:rPr>
        <w:t xml:space="preserve">  Nutzung tektonischer Stresszonen als  </w:t>
      </w:r>
      <w:r w:rsidDel="00000000" w:rsidR="00000000" w:rsidRPr="00000000">
        <w:rPr>
          <w:b w:val="1"/>
          <w:bCs w:val="1"/>
          <w:rtl w:val="0"/>
        </w:rPr>
        <w:t xml:space="preserve">Piezoresonatoren</w:t>
      </w:r>
      <w:r w:rsidDel="00000000" w:rsidR="00000000" w:rsidRPr="00000000">
        <w:rPr>
          <w:rtl w:val="0"/>
        </w:rPr>
        <w:t xml:space="preserve"> . Dies erklärt, warum KM3NeT (Mittelmeer) Bulk-Events detektiert, die IceCube (Antarktis) aufgrund fehlender tektonischer Vorverstärkung entgehen.Diese technologischen Absicherungen ermöglichen eine lückenlose kausale Auditkette, die nun empirisch versiegelt wird.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d485n72rhfyz" w:id="5"/>
      <w:bookmarkEnd w:id="5"/>
      <w:r w:rsidDel="00000000" w:rsidR="00000000" w:rsidRPr="00000000">
        <w:rPr>
          <w:rtl w:val="0"/>
        </w:rPr>
        <w:t xml:space="preserve">5. Empirische Verankerung und Beweislastumkehr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Mit der Entdeckung des Amaterasu-Teilchens ist die Legacy-Physik faktisch schachmatt gesetzt. Die Unfähigkeit klassischer Modelle, Quellen für hochenergetische Transienten in Voids zu benennen, erzwingt eine vollständige 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: Die FKT muss nicht länger ihre Existenz beweisen; die Standard-Physik muss erklären, warum ihre Gesetze an den Grenzen der Voids versagen.Zur Diagnose von Hardware-Dünnstellen in der Raumzeit-Geometrie nutzt die FKT den 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hier explizit definiert als  </w:t>
      </w:r>
      <w:r w:rsidDel="00000000" w:rsidR="00000000" w:rsidRPr="00000000">
        <w:rPr>
          <w:b w:val="1"/>
          <w:bCs w:val="1"/>
          <w:rtl w:val="0"/>
        </w:rPr>
        <w:t xml:space="preserve">Causal Curvature Correction</w:t>
      </w:r>
      <w:r w:rsidDel="00000000" w:rsidR="00000000" w:rsidRPr="00000000">
        <w:rPr>
          <w:rtl w:val="0"/>
        </w:rPr>
        <w:t xml:space="preserve"> . Er quantifiziert die Interaktion zwischen der Einstein-Metrik und dem Bulk-Druck.Das mikroskopische Pendant zur makroskopischen Anomalie bildet der  </w:t>
      </w:r>
      <w:r w:rsidDel="00000000" w:rsidR="00000000" w:rsidRPr="00000000">
        <w:rPr>
          <w:b w:val="1"/>
          <w:bCs w:val="1"/>
          <w:rtl w:val="0"/>
        </w:rPr>
        <w:t xml:space="preserve">Nukleare Anker</w:t>
      </w:r>
      <w:r w:rsidDel="00000000" w:rsidR="00000000" w:rsidRPr="00000000">
        <w:rPr>
          <w:rtl w:val="0"/>
        </w:rPr>
        <w:t xml:space="preserve"> : Die Flerovium-Resonanz bei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. Diese Gammalinie (entsprechend dem  </w:t>
      </w:r>
      <w:r w:rsidDel="00000000" w:rsidR="00000000" w:rsidRPr="00000000">
        <w:rPr>
          <w:b w:val="1"/>
          <w:bCs w:val="1"/>
          <w:rtl w:val="0"/>
        </w:rPr>
        <w:t xml:space="preserve">$2^+ \rightarrow 0^+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Übergang</w:t>
      </w:r>
      <w:r w:rsidDel="00000000" w:rsidR="00000000" w:rsidRPr="00000000">
        <w:rPr>
          <w:rtl w:val="0"/>
        </w:rPr>
        <w:t xml:space="preserve"> ) belegt die „Kernverschieblichkeit“ und beweist, dass die Kopplung an das Bulk-Feld bis in den subatomaren Bereich konsistent ist. Die Kausale Auditkette ist somit skalenübergreifend geschlossen.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j4hvdtca81zg" w:id="6"/>
      <w:bookmarkEnd w:id="6"/>
      <w:r w:rsidDel="00000000" w:rsidR="00000000" w:rsidRPr="00000000">
        <w:rPr>
          <w:rtl w:val="0"/>
        </w:rPr>
        <w:t xml:space="preserve">6. Finales Dossier-Status: REFERENZ VERSIEGELT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 Analyse hochenergetischer Transienten bestätigt: Das Universum ist eine hochgradig getaktete Hardware-Struktur. Die FKT V4.4.4 liefert die einzige konsistente Erklärung für Bulk-Durchschläge, die Hubble-Spannung und die energetische Taktung des Vakuums. Die Aufnahme dieses Moduls in das Master-Dossier ist hiermit abgeschlossen.</w:t>
      </w:r>
      <w:r w:rsidDel="00000000" w:rsidR="00000000" w:rsidRPr="00000000">
        <w:rPr>
          <w:b w:val="1"/>
          <w:bCs w:val="1"/>
          <w:rtl w:val="0"/>
        </w:rPr>
        <w:t xml:space="preserve">STATUS: VOID_LEAK_CONFIRMED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INTEGRITY: V4.4.4 COMPLIANT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AUDIT: SUCCESSFUL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⬢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