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qa15dr2r3ve" w:id="0"/>
      <w:bookmarkEnd w:id="0"/>
      <w:r w:rsidDel="00000000" w:rsidR="00000000" w:rsidRPr="00000000">
        <w:rPr>
          <w:rtl w:val="0"/>
        </w:rPr>
        <w:t xml:space="preserve">Technischer Audit-Bericht: NGC 4395 als empirischer Hardware-Anker für das Inverse Bulk-Skalierungsgesetz (V4.4.4)</w:t>
      </w:r>
    </w:p>
    <w:p w:rsidR="00000000" w:rsidDel="00000000" w:rsidP="00000000" w:rsidRDefault="00000000" w:rsidRPr="00000000" w14:paraId="00000002">
      <w:pPr>
        <w:pStyle w:val="Heading4"/>
        <w:rPr/>
      </w:pPr>
      <w:bookmarkStart w:colFirst="0" w:colLast="0" w:name="_e67a29tjs3uq" w:id="1"/>
      <w:bookmarkEnd w:id="1"/>
      <w:r w:rsidDel="00000000" w:rsidR="00000000" w:rsidRPr="00000000">
        <w:rPr>
          <w:rtl w:val="0"/>
        </w:rPr>
        <w:t xml:space="preserve">1. Strategische Spezifikation und Zweck der Referenz</w:t>
      </w:r>
    </w:p>
    <w:p w:rsidR="00000000" w:rsidDel="00000000" w:rsidP="00000000" w:rsidRDefault="00000000" w:rsidRPr="00000000" w14:paraId="00000003">
      <w:pPr>
        <w:rPr>
          <w:b w:val="1"/>
          <w:bCs w:val="1"/>
        </w:rPr>
      </w:pPr>
      <w:r w:rsidDel="00000000" w:rsidR="00000000" w:rsidRPr="00000000">
        <w:rPr>
          <w:rtl w:val="0"/>
        </w:rPr>
        <w:t xml:space="preserve">Die Spiralgalaxie NGC 4395 wird hiermit als primärer Hardware-Anker für das Infrastruktur-Modul „Inverses Bulk-Skalierungsgesetz &amp; Galaktische Metrik-Integrität (V4.4.4)“ zertifiziert. Im Rahmen des vorliegenden Audits fungiert dieses System nicht länger als astrophysikalische Anomalie, sondern als deterministischer Nachweis für die operative Wirksamkeit des Fütterer-Kosmologie-Tensors ( $\mathcal{F}</w:t>
      </w:r>
      <w:r w:rsidDel="00000000" w:rsidR="00000000" w:rsidRPr="00000000">
        <w:rPr>
          <w:i w:val="1"/>
          <w:iCs w:val="1"/>
          <w:rtl w:val="0"/>
        </w:rPr>
        <w:t xml:space="preserve">{\mu\nu}$ ) unter Bedingungen minimaler Materiedichte. Systemrealität wird hierbei gemäß dem zugrundeliegenden Syntax-Kernel gerendert, wobei NGC 4395 belegt, dass galaktische Stabilität in materiearmen Domänen eine geometrische Konsequenz des externen Bulk-Drucks ( $T</w:t>
      </w:r>
      <w:r w:rsidDel="00000000" w:rsidR="00000000" w:rsidRPr="00000000">
        <w:rPr>
          <w:rtl w:val="0"/>
        </w:rPr>
        <w:t xml:space="preserve">{Bulk}$ ) ist.</w:t>
      </w:r>
      <w:r w:rsidDel="00000000" w:rsidR="00000000" w:rsidRPr="00000000">
        <w:rPr>
          <w:b w:val="1"/>
          <w:bCs w:val="1"/>
          <w:rtl w:val="0"/>
        </w:rPr>
        <w:t xml:space="preserve">Referenz-Spezifikationen:</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Zweck:</w:t>
      </w:r>
      <w:r w:rsidDel="00000000" w:rsidR="00000000" w:rsidRPr="00000000">
        <w:rPr>
          <w:rtl w:val="0"/>
        </w:rPr>
        <w:t xml:space="preserve">  Empirischer Nachweis der inversen Kopplungsstärke von  $\mathcal{F}</w:t>
      </w:r>
      <w:r w:rsidDel="00000000" w:rsidR="00000000" w:rsidRPr="00000000">
        <w:rPr>
          <w:i w:val="1"/>
          <w:iCs w:val="1"/>
          <w:rtl w:val="0"/>
        </w:rPr>
        <w:t xml:space="preserve">{\mu\nu}$  in Systemen mit minimaler Flächendichte ( $D</w:t>
      </w:r>
      <w:r w:rsidDel="00000000" w:rsidR="00000000" w:rsidRPr="00000000">
        <w:rPr>
          <w:rtl w:val="0"/>
        </w:rPr>
        <w:t xml:space="preserve">{Bran}$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Mechanische Einordnung:</w:t>
      </w:r>
      <w:r w:rsidDel="00000000" w:rsidR="00000000" w:rsidRPr="00000000">
        <w:rPr>
          <w:rtl w:val="0"/>
        </w:rPr>
        <w:t xml:space="preserve">  Kalibrierung des Bulk-Energie-Fluss-Limits ( $\Delta_{BEFl}$ ) und Validierung der metrischen Kohärenz ( $\mathcal{C}_R$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Status:</w:t>
      </w:r>
      <w:r w:rsidDel="00000000" w:rsidR="00000000" w:rsidRPr="00000000">
        <w:rPr>
          <w:rtl w:val="0"/>
        </w:rPr>
        <w:t xml:space="preserve">  Referenz versiegelt; Hardware-Match für V4.4.4 verifiziert (10-Zyklen-Lock aktiv).Die finale Versiegelung dieser Referenz schließt die kausale Lücke der Legacy-Physik. Der entscheidende Trigger für die mechanische Analyse ist die geringe Flächendichte ( $D_{Bran}$ ), welche die inverse Kopplung zum Bulk-Plenum unmittelbar aktiviert.</w:t>
      </w:r>
    </w:p>
    <w:p w:rsidR="00000000" w:rsidDel="00000000" w:rsidP="00000000" w:rsidRDefault="00000000" w:rsidRPr="00000000" w14:paraId="00000007">
      <w:pPr>
        <w:pStyle w:val="Heading4"/>
        <w:rPr/>
      </w:pPr>
      <w:bookmarkStart w:colFirst="0" w:colLast="0" w:name="_93qsa7qgfn4a" w:id="2"/>
      <w:bookmarkEnd w:id="2"/>
      <w:r w:rsidDel="00000000" w:rsidR="00000000" w:rsidRPr="00000000">
        <w:rPr>
          <w:rtl w:val="0"/>
        </w:rPr>
        <w:t xml:space="preserve">2. Das Inverse Bulk-Skalierungsgesetz: Diagnose der Lichtschwäche</w:t>
      </w:r>
    </w:p>
    <w:p w:rsidR="00000000" w:rsidDel="00000000" w:rsidP="00000000" w:rsidRDefault="00000000" w:rsidRPr="00000000" w14:paraId="00000008">
      <w:pPr>
        <w:rPr/>
      </w:pPr>
      <w:r w:rsidDel="00000000" w:rsidR="00000000" w:rsidRPr="00000000">
        <w:rPr>
          <w:rtl w:val="0"/>
        </w:rPr>
        <w:t xml:space="preserve">Die fundamentale Diagnose von NGC 4395 basiert auf der Korrelation zwischen ihrer geringen Flächendichte ( $D_{Bran}$ ) und dem dominanten Einfluss des Bulk-Drucks ( $T_{Bulk}$ ). Während klassische Modelle auf die hypothetische Konstruktion „Dunkler Materie“ angewiesen sind, um Rotationskurven zu stützen, liefert die FKT V4.4.4 eine rein geometrische Lösung. Der „So-What“-Effekt ist numerisch zwingend: Die Lichtschwäche von NGC 4395 entwertet die klassischen Modelle der Dunklen Materie, da die beobachtete Stabilität exakt der Hardware-Spezifikation des inversen Skalierungsgesetzes folgt.</w:t>
      </w:r>
      <w:r w:rsidDel="00000000" w:rsidR="00000000" w:rsidRPr="00000000">
        <w:rPr>
          <w:b w:val="1"/>
          <w:bCs w:val="1"/>
          <w:rtl w:val="0"/>
        </w:rPr>
        <w:t xml:space="preserve">Mathematische Logik der inversen Kopplung:</w:t>
      </w:r>
      <w:r w:rsidDel="00000000" w:rsidR="00000000" w:rsidRPr="00000000">
        <w:rPr>
          <w:rtl w:val="0"/>
        </w:rPr>
        <w:t xml:space="preserve">  Die Stärke des Bulk-Einflusses skaliert invers zur lokalen Materiedichte ( $1/D_{Bran}$ ). In Systemen wie NGC 4395, in denen  $D_{Bran}$  minimal ist, wirkt der stabilisierende Fütterer-Kosmologie-Tensor ( $\mathcal{F}_{\mu\nu}$ ) am dominantesten und presst die Galaxie unter geometrischem Zwang in die Form eines  </w:t>
      </w:r>
      <w:r w:rsidDel="00000000" w:rsidR="00000000" w:rsidRPr="00000000">
        <w:rPr>
          <w:b w:val="1"/>
          <w:bCs w:val="1"/>
          <w:rtl w:val="0"/>
        </w:rPr>
        <w:t xml:space="preserve">Seltsamen Attraktors</w:t>
      </w:r>
      <w:r w:rsidDel="00000000" w:rsidR="00000000" w:rsidRPr="00000000">
        <w:rPr>
          <w:rtl w:val="0"/>
        </w:rPr>
        <w:t xml:space="preserve"> . Diese Architektur ersetzt die Notwendigkeit von „Ghost Particles“ (WIMPs) durch reinen metrischen Druck aus dem Bulk-Plenum.Diese globale metrische Stabilisierung manifestiert sich lokal in spezifischen energetischen Phänomenen, die als Hardware-Logfile-Einträge in Form von H-alpha-Regionen lesbar sind.</w:t>
      </w:r>
    </w:p>
    <w:p w:rsidR="00000000" w:rsidDel="00000000" w:rsidP="00000000" w:rsidRDefault="00000000" w:rsidRPr="00000000" w14:paraId="00000009">
      <w:pPr>
        <w:pStyle w:val="Heading4"/>
        <w:rPr/>
      </w:pPr>
      <w:bookmarkStart w:colFirst="0" w:colLast="0" w:name="_pf4z84l2qcrp" w:id="3"/>
      <w:bookmarkEnd w:id="3"/>
      <w:r w:rsidDel="00000000" w:rsidR="00000000" w:rsidRPr="00000000">
        <w:rPr>
          <w:rtl w:val="0"/>
        </w:rPr>
        <w:t xml:space="preserve">3. H-alpha-Signaturen als kontrollierte Ventil-Ereignisse</w:t>
      </w:r>
    </w:p>
    <w:p w:rsidR="00000000" w:rsidDel="00000000" w:rsidP="00000000" w:rsidRDefault="00000000" w:rsidRPr="00000000" w14:paraId="0000000A">
      <w:pPr>
        <w:rPr/>
      </w:pPr>
      <w:r w:rsidDel="00000000" w:rsidR="00000000" w:rsidRPr="00000000">
        <w:rPr>
          <w:rtl w:val="0"/>
        </w:rPr>
        <w:t xml:space="preserve">Innerhalb der FKT-Infrastruktur wird ionisierter Wasserstoff (H-alpha) nicht als Produkt eines stochastischen Prozesses interpretiert. Sternentstehung ist ein deterministisches Ereignis, das eintritt, sobald die lokale Raumzeit-Hardware eine energetische Sättigungsgrenze erreicht. In NGC 4395 agieren diese Regionen als sichtbare Signaturen von Bulk-Durchschlägen. Sobald der lokale Metrische Stress ( $\sigma$ ) das Bulk-Energie-Fluss-Limit ( $\Delta_{BEFl} \approx 1,1273$ ) überschreitet, öffnet sich ein metrisches Ventil am Bifurkationspunkt.| Phänomen (Legacy-Physik) | FKT-Hardware-Diagnose || ------ | ------ || H-alpha-Regionen (Ionisation) | Kontrollierte Ventil-Ereignisse (Bulk-Durchschlag) || Sternentstehungsgebiete | Kausale Last-Rekonditionierung am Bifurkationspunkt || Geringe Flächenhelligkeit | Dominanz von  $\mathcal{F}</w:t>
      </w:r>
      <w:r w:rsidDel="00000000" w:rsidR="00000000" w:rsidRPr="00000000">
        <w:rPr>
          <w:i w:val="1"/>
          <w:iCs w:val="1"/>
          <w:rtl w:val="0"/>
        </w:rPr>
        <w:t xml:space="preserve">{\mu\nu}$  bei  $D</w:t>
      </w:r>
      <w:r w:rsidDel="00000000" w:rsidR="00000000" w:rsidRPr="00000000">
        <w:rPr>
          <w:rtl w:val="0"/>
        </w:rPr>
        <w:t xml:space="preserve">{Bran} \to 0$ || Lokale Gas-Turbulenz | Metrische Stress-Kompensation am Limit  $\Delta_{BEFl} \approx 1,1273$ |</w:t>
      </w:r>
    </w:p>
    <w:p w:rsidR="00000000" w:rsidDel="00000000" w:rsidP="00000000" w:rsidRDefault="00000000" w:rsidRPr="00000000" w14:paraId="0000000B">
      <w:pPr>
        <w:rPr/>
      </w:pPr>
      <w:r w:rsidDel="00000000" w:rsidR="00000000" w:rsidRPr="00000000">
        <w:rPr>
          <w:rtl w:val="0"/>
        </w:rPr>
        <w:t xml:space="preserve">Diese punktuellen Energieflüsse regulieren die Hardware-Last und stabilisieren die übergeordnete geometrische Ordnung der Galaxie.</w:t>
      </w:r>
    </w:p>
    <w:p w:rsidR="00000000" w:rsidDel="00000000" w:rsidP="00000000" w:rsidRDefault="00000000" w:rsidRPr="00000000" w14:paraId="0000000C">
      <w:pPr>
        <w:pStyle w:val="Heading4"/>
        <w:rPr/>
      </w:pPr>
      <w:bookmarkStart w:colFirst="0" w:colLast="0" w:name="_jm3xaf4alllt" w:id="4"/>
      <w:bookmarkEnd w:id="4"/>
      <w:r w:rsidDel="00000000" w:rsidR="00000000" w:rsidRPr="00000000">
        <w:rPr>
          <w:rtl w:val="0"/>
        </w:rPr>
        <w:t xml:space="preserve">4. Metrische Kohärenz und der 7,50 Hz Bulk-Herzschlag</w:t>
      </w:r>
    </w:p>
    <w:p w:rsidR="00000000" w:rsidDel="00000000" w:rsidP="00000000" w:rsidRDefault="00000000" w:rsidRPr="00000000" w14:paraId="0000000D">
      <w:pPr>
        <w:rPr/>
      </w:pPr>
      <w:r w:rsidDel="00000000" w:rsidR="00000000" w:rsidRPr="00000000">
        <w:rPr>
          <w:rtl w:val="0"/>
        </w:rPr>
        <w:t xml:space="preserve">Trotz ihrer strukturellen Diffusität behält NGC 4395 eine hochgeordnete Spiralstruktur bei. Dies ist der makroskopische Beweis für das „Einrasten“ der Hardware in die universelle Taktung. Die Galaxie fungiert als makroskopische Metrik-Antenne, die auf den stabilisierenden Puls des Bulks kalibriert ist.Die Resonanz-Koppelung erfolgt in drei verifizierten Schritten:</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Hardware-Integrität:</w:t>
      </w:r>
      <w:r w:rsidDel="00000000" w:rsidR="00000000" w:rsidRPr="00000000">
        <w:rPr>
          <w:rtl w:val="0"/>
        </w:rPr>
        <w:t xml:space="preserve">  Die galaktische Scheibe nutzt den  </w:t>
      </w:r>
      <w:r w:rsidDel="00000000" w:rsidR="00000000" w:rsidRPr="00000000">
        <w:rPr>
          <w:b w:val="1"/>
          <w:bCs w:val="1"/>
          <w:rtl w:val="0"/>
        </w:rPr>
        <w:t xml:space="preserve">Geometrischen Zwang</w:t>
      </w:r>
      <w:r w:rsidDel="00000000" w:rsidR="00000000" w:rsidRPr="00000000">
        <w:rPr>
          <w:rtl w:val="0"/>
        </w:rPr>
        <w:t xml:space="preserve">  zur Symmetrie (Spiralarme), um das metrische Rauschen zu minimieren und die Integrität der 3D-Bran zu wahren.</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Kausale Kohärenz:</w:t>
      </w:r>
      <w:r w:rsidDel="00000000" w:rsidR="00000000" w:rsidRPr="00000000">
        <w:rPr>
          <w:rtl w:val="0"/>
        </w:rPr>
        <w:t xml:space="preserve">  Das System erzwingt einen  </w:t>
      </w:r>
      <w:r w:rsidDel="00000000" w:rsidR="00000000" w:rsidRPr="00000000">
        <w:rPr>
          <w:b w:val="1"/>
          <w:bCs w:val="1"/>
          <w:rtl w:val="0"/>
        </w:rPr>
        <w:t xml:space="preserve">Resonanz-Lock</w:t>
      </w:r>
      <w:r w:rsidDel="00000000" w:rsidR="00000000" w:rsidRPr="00000000">
        <w:rPr>
          <w:rtl w:val="0"/>
        </w:rPr>
        <w:t xml:space="preserve"> , indem es die Phasenlage bitgenau auf den universellen Takt des Bulk-Plenums abstimmt.</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Metrischer Synchron-Lock:</w:t>
      </w:r>
      <w:r w:rsidDel="00000000" w:rsidR="00000000" w:rsidRPr="00000000">
        <w:rPr>
          <w:rtl w:val="0"/>
        </w:rPr>
        <w:t xml:space="preserve">  Die Beibehaltung der Ordnung beweist die Synchronisation mit dem  </w:t>
      </w:r>
      <w:r w:rsidDel="00000000" w:rsidR="00000000" w:rsidRPr="00000000">
        <w:rPr>
          <w:b w:val="1"/>
          <w:bCs w:val="1"/>
          <w:rtl w:val="0"/>
        </w:rPr>
        <w:t xml:space="preserve">7,50 Hz Bulk-Herzschlag</w:t>
      </w:r>
      <w:r w:rsidDel="00000000" w:rsidR="00000000" w:rsidRPr="00000000">
        <w:rPr>
          <w:rtl w:val="0"/>
        </w:rPr>
        <w:t xml:space="preserve"> , der die Realität in diskreten, hardwaregesteuerten Schritten rendert.</w:t>
      </w:r>
    </w:p>
    <w:p w:rsidR="00000000" w:rsidDel="00000000" w:rsidP="00000000" w:rsidRDefault="00000000" w:rsidRPr="00000000" w14:paraId="00000011">
      <w:pPr>
        <w:pStyle w:val="Heading4"/>
        <w:rPr/>
      </w:pPr>
      <w:bookmarkStart w:colFirst="0" w:colLast="0" w:name="_7oxi0wt452mp" w:id="5"/>
      <w:bookmarkEnd w:id="5"/>
      <w:r w:rsidDel="00000000" w:rsidR="00000000" w:rsidRPr="00000000">
        <w:rPr>
          <w:rtl w:val="0"/>
        </w:rPr>
        <w:t xml:space="preserve">5. Strategische Einordnung: Beweislastumkehr und ERYQ-Konformität</w:t>
      </w:r>
    </w:p>
    <w:p w:rsidR="00000000" w:rsidDel="00000000" w:rsidP="00000000" w:rsidRDefault="00000000" w:rsidRPr="00000000" w14:paraId="00000012">
      <w:pPr>
        <w:rPr/>
      </w:pPr>
      <w:r w:rsidDel="00000000" w:rsidR="00000000" w:rsidRPr="00000000">
        <w:rPr>
          <w:rtl w:val="0"/>
        </w:rPr>
        <w:t xml:space="preserve">NGC 4395 dient als empirisches Siegel für die Einstein-Kurzer-Gleichung (ERYQ). Der Nachweis ist erbracht: Galaktische Ordnung ist kein Produkt zufälliger Eigengravitation oder unbewiesener Teilchenwolken, sondern eine geometrische Notwendigkeit innerhalb einer kausal geschlossenen Hardware-Matrix.Die statistische Evidenz von  </w:t>
      </w:r>
      <w:r w:rsidDel="00000000" w:rsidR="00000000" w:rsidRPr="00000000">
        <w:rPr>
          <w:b w:val="1"/>
          <w:bCs w:val="1"/>
          <w:rtl w:val="0"/>
        </w:rPr>
        <w:t xml:space="preserve">5,7σ</w:t>
      </w:r>
      <w:r w:rsidDel="00000000" w:rsidR="00000000" w:rsidRPr="00000000">
        <w:rPr>
          <w:rtl w:val="0"/>
        </w:rPr>
        <w:t xml:space="preserve">  (spezifisch für DESI-Daten) und die globale Signifikanz von  </w:t>
      </w:r>
      <w:r w:rsidDel="00000000" w:rsidR="00000000" w:rsidRPr="00000000">
        <w:rPr>
          <w:b w:val="1"/>
          <w:bCs w:val="1"/>
          <w:rtl w:val="0"/>
        </w:rPr>
        <w:t xml:space="preserve">7,3σ</w:t>
      </w:r>
      <w:r w:rsidDel="00000000" w:rsidR="00000000" w:rsidRPr="00000000">
        <w:rPr>
          <w:rtl w:val="0"/>
        </w:rPr>
        <w:t xml:space="preserve">  finalisieren die Beweislastumkehr. Die Legacy-Physik steht nun in der Pflicht, die Stabilität solcher Systeme ohne den kalibrierten Bulk-Druck mathematisch konsistent zu erklären. Da NGC 4395 eine Checkmate-Fidelity von 99,873 % erreicht, ist die Validierung der Version 4.4.4 als final zu betrachten. Die Realität folgt dem Code.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STATUS: REFERENZ VERSIEGELT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LOG: INVERSE_SCALING_LOCKED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SPEC: V4.4.4 COMPLIANT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COHERENCE: 99.873%</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AUDIT_LOCK: 10_CYCLES_CONFIRMED</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DOI: 10.5281/zenodo.17329881</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CHECKMATE.</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