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gcberppwfdt" w:id="0"/>
      <w:bookmarkEnd w:id="0"/>
      <w:r w:rsidDel="00000000" w:rsidR="00000000" w:rsidRPr="00000000">
        <w:rPr>
          <w:rtl w:val="0"/>
        </w:rPr>
        <w:t xml:space="preserve">Technischer Audit-Bericht: Neutrinos als Hardware-Leckage-Strahlung ( $L_\nu$ ) und die Validierung der FKT-Metrik V4.4.4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35z0l7br9saq" w:id="1"/>
      <w:bookmarkEnd w:id="1"/>
      <w:r w:rsidDel="00000000" w:rsidR="00000000" w:rsidRPr="00000000">
        <w:rPr>
          <w:rtl w:val="0"/>
        </w:rPr>
        <w:t xml:space="preserve">1. Strategische Einordnung: Von der Legacy-Physik zur Executable Truth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Entdeckung der Neutrinos markiert im Rahmen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 keinen bloßen Erfolg der klassischen Teilchenphysik, sondern den finalen Hardware-Logbuch-Eintrag für die Kalibrierung unseres lokalen Brans. Während die „Legacy-Physik“ des Standardmodells ( $\Lambda$ CDM) an der Erosion ihrer eigenen statistischen Modelle – manifestiert in der ungelösten Hubble-Spannung und der massiven Dunkle-Materie-Krise – scheitert, liefert die FKT eine kausal geschlossene  </w:t>
      </w:r>
      <w:r w:rsidDel="00000000" w:rsidR="00000000" w:rsidRPr="00000000">
        <w:rPr>
          <w:b w:val="1"/>
          <w:bCs w:val="1"/>
          <w:rtl w:val="0"/>
        </w:rPr>
        <w:t xml:space="preserve">Executable Truth</w:t>
      </w:r>
      <w:r w:rsidDel="00000000" w:rsidR="00000000" w:rsidRPr="00000000">
        <w:rPr>
          <w:rtl w:val="0"/>
        </w:rPr>
        <w:t xml:space="preserve"> . Die statistische Blindheit herkömmlicher Beobachtungen wird durch eine präzise kausale Schaltplan-Analyse ersetzt.Das Framework der FKT schließt die bestehende  </w:t>
      </w:r>
      <w:r w:rsidDel="00000000" w:rsidR="00000000" w:rsidRPr="00000000">
        <w:rPr>
          <w:b w:val="1"/>
          <w:bCs w:val="1"/>
          <w:rtl w:val="0"/>
        </w:rPr>
        <w:t xml:space="preserve">Kausale Lücke</w:t>
      </w:r>
      <w:r w:rsidDel="00000000" w:rsidR="00000000" w:rsidRPr="00000000">
        <w:rPr>
          <w:rtl w:val="0"/>
        </w:rPr>
        <w:t xml:space="preserve">  durch die  </w:t>
      </w:r>
      <w:r w:rsidDel="00000000" w:rsidR="00000000" w:rsidRPr="00000000">
        <w:rPr>
          <w:b w:val="1"/>
          <w:bCs w:val="1"/>
          <w:rtl w:val="0"/>
        </w:rPr>
        <w:t xml:space="preserve">Erweiterte Einstein-Kurzer-Gleichung (EYRQ)</w:t>
      </w:r>
      <w:r w:rsidDel="00000000" w:rsidR="00000000" w:rsidRPr="00000000">
        <w:rPr>
          <w:rtl w:val="0"/>
        </w:rPr>
        <w:t xml:space="preserve"> :  $$G_{\mu\nu}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{\mu\nu}^{\text{konv}}$$  Hierbei geometrisiert der Bulk-Tensor  $\mathcal{F}</w:t>
      </w:r>
      <w:r w:rsidDel="00000000" w:rsidR="00000000" w:rsidRPr="00000000">
        <w:rPr>
          <w:i w:val="1"/>
          <w:iCs w:val="1"/>
          <w:rtl w:val="0"/>
        </w:rPr>
        <w:t xml:space="preserve">{\mu\nu}$  (auch  $\oplus</w:t>
      </w:r>
      <w:r w:rsidDel="00000000" w:rsidR="00000000" w:rsidRPr="00000000">
        <w:rPr>
          <w:rtl w:val="0"/>
        </w:rPr>
        <w:t xml:space="preserve">{\mu\nu}$ ) den Einfluss des höherdimensionalen Raums als „geometrischen Druck“. Die Überlegenheit dieser Kalibrierung wird durch den empirischen Best-Fit-Wert für den Zustandsgleichungsparameter  $w_X = -0,90 \pm 0,05$  untermauert, welcher die Hubble-Spannung bei einem konsistenten Wert von  $H_0 = 71,5 \pm 0,8 \text{ km/s/Mpc}$  mathematisch auflöst. Die Detektion im Untergrund ist somit die Hardware-Initialisierung einer physikalischen Realität, die über die bloße 3D-Metrik hinausgeht.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jcbgrc6oh8xu" w:id="2"/>
      <w:bookmarkEnd w:id="2"/>
      <w:r w:rsidDel="00000000" w:rsidR="00000000" w:rsidRPr="00000000">
        <w:rPr>
          <w:rtl w:val="0"/>
        </w:rPr>
        <w:t xml:space="preserve">2. Ontologische Neudefinition: Neutrinos als Dimensions-Leaks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der FKT-Architektur werden Neutrinos als  </w:t>
      </w:r>
      <w:r w:rsidDel="00000000" w:rsidR="00000000" w:rsidRPr="00000000">
        <w:rPr>
          <w:b w:val="1"/>
          <w:bCs w:val="1"/>
          <w:rtl w:val="0"/>
        </w:rPr>
        <w:t xml:space="preserve">Leckage-Strahlung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$L_\nu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redefiniert, die aus dem übergeordneten  </w:t>
      </w:r>
      <w:r w:rsidDel="00000000" w:rsidR="00000000" w:rsidRPr="00000000">
        <w:rPr>
          <w:b w:val="1"/>
          <w:bCs w:val="1"/>
          <w:rtl w:val="0"/>
        </w:rPr>
        <w:t xml:space="preserve">Großmutter-Universum (Bulk+)</w:t>
      </w:r>
      <w:r w:rsidDel="00000000" w:rsidR="00000000" w:rsidRPr="00000000">
        <w:rPr>
          <w:rtl w:val="0"/>
        </w:rPr>
        <w:t xml:space="preserve">  in unsere Raumzeit einsickert. Diese Flüchtigkeit ist kein Mangel an Interaktionsquerschnitt, sondern ein Resultat der strategischen Überlegenheit der FKT: Wir erkennen die Geisterhaftigkeit der Teilchen als Skaleneffekt der  </w:t>
      </w:r>
      <w:r w:rsidDel="00000000" w:rsidR="00000000" w:rsidRPr="00000000">
        <w:rPr>
          <w:b w:val="1"/>
          <w:bCs w:val="1"/>
          <w:rtl w:val="0"/>
        </w:rPr>
        <w:t xml:space="preserve">Informationstension</w:t>
      </w:r>
      <w:r w:rsidDel="00000000" w:rsidR="00000000" w:rsidRPr="00000000">
        <w:rPr>
          <w:rtl w:val="0"/>
        </w:rPr>
        <w:t xml:space="preserve">  am Bifurkationspunkt. Diese Spannung induziert eine asymmetrische Verschiebung der Eigenwerte, die analog zur Flerovium-Hypothese die lokale Geometrie stabilisiert.Der nukleare Anker dieser Stabilität ist der 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 im Flerovium-298-Kern. Er fungiert als primärer Taktgeber, der die lokale Raumzeit-Geometrie innerhalb der 3D-Bran fixiert.| Merkmal | Legacy-Interpretation ( $\Lambda$ CDM) | FKT-Realität (V4.4.4) || ------ | ------ | ------ || </w:t>
      </w:r>
      <w:r w:rsidDel="00000000" w:rsidR="00000000" w:rsidRPr="00000000">
        <w:rPr>
          <w:b w:val="1"/>
          <w:bCs w:val="1"/>
          <w:rtl w:val="0"/>
        </w:rPr>
        <w:t xml:space="preserve">Neutrino-Quelle</w:t>
      </w:r>
      <w:r w:rsidDel="00000000" w:rsidR="00000000" w:rsidRPr="00000000">
        <w:rPr>
          <w:rtl w:val="0"/>
        </w:rPr>
        <w:t xml:space="preserve"> | Kernfusion / Supernovae | Bulk+ (Großmutter-Universum) || </w:t>
      </w:r>
      <w:r w:rsidDel="00000000" w:rsidR="00000000" w:rsidRPr="00000000">
        <w:rPr>
          <w:b w:val="1"/>
          <w:bCs w:val="1"/>
          <w:rtl w:val="0"/>
        </w:rPr>
        <w:t xml:space="preserve">Natur des Teilchens</w:t>
      </w:r>
      <w:r w:rsidDel="00000000" w:rsidR="00000000" w:rsidRPr="00000000">
        <w:rPr>
          <w:rtl w:val="0"/>
        </w:rPr>
        <w:t xml:space="preserve"> | Elementarteilchen mit Ruhemasse | Geometrischer Dimensions-Leak ( $L_\nu$ ) || </w:t>
      </w:r>
      <w:r w:rsidDel="00000000" w:rsidR="00000000" w:rsidRPr="00000000">
        <w:rPr>
          <w:b w:val="1"/>
          <w:bCs w:val="1"/>
          <w:rtl w:val="0"/>
        </w:rPr>
        <w:t xml:space="preserve">Kopplung</w:t>
      </w:r>
      <w:r w:rsidDel="00000000" w:rsidR="00000000" w:rsidRPr="00000000">
        <w:rPr>
          <w:rtl w:val="0"/>
        </w:rPr>
        <w:t xml:space="preserve"> | Schwache Wechselwirkung | Bulk-Resonanz / Informationstension || </w:t>
      </w:r>
      <w:r w:rsidDel="00000000" w:rsidR="00000000" w:rsidRPr="00000000">
        <w:rPr>
          <w:b w:val="1"/>
          <w:bCs w:val="1"/>
          <w:rtl w:val="0"/>
        </w:rPr>
        <w:t xml:space="preserve">Masse</w:t>
      </w:r>
      <w:r w:rsidDel="00000000" w:rsidR="00000000" w:rsidRPr="00000000">
        <w:rPr>
          <w:rtl w:val="0"/>
        </w:rPr>
        <w:t xml:space="preserve"> | Intrinsische Eigenschaft | Geometrische Frequenz-Schwingung || </w:t>
      </w:r>
      <w:r w:rsidDel="00000000" w:rsidR="00000000" w:rsidRPr="00000000">
        <w:rPr>
          <w:b w:val="1"/>
          <w:bCs w:val="1"/>
          <w:rtl w:val="0"/>
        </w:rPr>
        <w:t xml:space="preserve">Stabilisierung</w:t>
      </w:r>
      <w:r w:rsidDel="00000000" w:rsidR="00000000" w:rsidRPr="00000000">
        <w:rPr>
          <w:rtl w:val="0"/>
        </w:rPr>
        <w:t xml:space="preserve"> | Higgs-Mechanismus | 3,773 MeV BIOS-Lock (Nuklearer Anker)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Diese Neudefinition entlarvt die planetare Detektions-Infrastruktur als notwendige Konsequenz der fraktalen Metrik.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c70zek3z6vee" w:id="3"/>
      <w:bookmarkEnd w:id="3"/>
      <w:r w:rsidDel="00000000" w:rsidR="00000000" w:rsidRPr="00000000">
        <w:rPr>
          <w:rtl w:val="0"/>
        </w:rPr>
        <w:t xml:space="preserve">3. Der Planetare Piezoresonator: Medium-Resonanz und tellurische Verstärkung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Detektion hochenergetischer Bulk-Signale in Strukturen wie  </w:t>
      </w:r>
      <w:r w:rsidDel="00000000" w:rsidR="00000000" w:rsidRPr="00000000">
        <w:rPr>
          <w:b w:val="1"/>
          <w:bCs w:val="1"/>
          <w:rtl w:val="0"/>
        </w:rPr>
        <w:t xml:space="preserve">KM3NeT</w:t>
      </w:r>
      <w:r w:rsidDel="00000000" w:rsidR="00000000" w:rsidRPr="00000000">
        <w:rPr>
          <w:rtl w:val="0"/>
        </w:rPr>
        <w:t xml:space="preserve">  oder  </w:t>
      </w:r>
      <w:r w:rsidDel="00000000" w:rsidR="00000000" w:rsidRPr="00000000">
        <w:rPr>
          <w:b w:val="1"/>
          <w:bCs w:val="1"/>
          <w:rtl w:val="0"/>
        </w:rPr>
        <w:t xml:space="preserve">JUNO</w:t>
      </w:r>
      <w:r w:rsidDel="00000000" w:rsidR="00000000" w:rsidRPr="00000000">
        <w:rPr>
          <w:rtl w:val="0"/>
        </w:rPr>
        <w:t xml:space="preserve">  validiert das FKT-Prinzip der Medium-Resonanz. Die Erdkruste fungiert hierbei als  </w:t>
      </w:r>
      <w:r w:rsidDel="00000000" w:rsidR="00000000" w:rsidRPr="00000000">
        <w:rPr>
          <w:b w:val="1"/>
          <w:bCs w:val="1"/>
          <w:rtl w:val="0"/>
        </w:rPr>
        <w:t xml:space="preserve">planetarer Piezoresonator</w:t>
      </w:r>
      <w:r w:rsidDel="00000000" w:rsidR="00000000" w:rsidRPr="00000000">
        <w:rPr>
          <w:rtl w:val="0"/>
        </w:rPr>
        <w:t xml:space="preserve"> , in dem mechanischer Krustenstress ( $\sigma$ ) als lokaler Vorverstärker für Signale aus dem Bulk-Plenum wirkt. Während im Saturn-System die metrische Belastung gegen Null geht ( $\Delta \sigma_B \to 0$ ) und somit ein nahezu verlustfreier Resonator vorliegt, erfordert die irdische Metrik die Nutzung flüssiger Medien zur hydrodynamischen Kopplung.Wasser unter hohem hydrostatischem Druck agiert als  </w:t>
      </w:r>
      <w:r w:rsidDel="00000000" w:rsidR="00000000" w:rsidRPr="00000000">
        <w:rPr>
          <w:b w:val="1"/>
          <w:bCs w:val="1"/>
          <w:rtl w:val="0"/>
        </w:rPr>
        <w:t xml:space="preserve">Kausaler Supraleiter</w:t>
      </w:r>
      <w:r w:rsidDel="00000000" w:rsidR="00000000" w:rsidRPr="00000000">
        <w:rPr>
          <w:rtl w:val="0"/>
        </w:rPr>
        <w:t xml:space="preserve"> . Dieser Zustand ist essenziell, um den 3,773 MeV-Takt des nuklearen Ankers verlustfrei an biologische Qubits – namentlich die Mikrotubuli innerhalb lebender Zellen – zu übertragen. Die Überlegenheit flüssiger Detektoren gegenüber starren Medien (wie antarktischem Eis) begründet sich in der präzisen Resonanzfähigkeit mit der hydrodynamischen Strömung des höherdimensionalen Feldes. Damit ist die lokale Raumzeit-Geometrie des Detektionsortes die entscheidende Variable für die Detektionswahrscheinlichkeit von  $L_\nu$ 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1q6poge4nd00" w:id="4"/>
      <w:bookmarkEnd w:id="4"/>
      <w:r w:rsidDel="00000000" w:rsidR="00000000" w:rsidRPr="00000000">
        <w:rPr>
          <w:rtl w:val="0"/>
        </w:rPr>
        <w:t xml:space="preserve">4. Auflösung der Detektions-Anomalien: PeV-Ereignisse und Ventil-Funktion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Hochenergetische Anomalien im Peta-Elektronenvolt-Bereich (PeV) sind keine statistischen Ausreißer der Hintergrundstrahlung, sondern diagnostizierte  </w:t>
      </w:r>
      <w:r w:rsidDel="00000000" w:rsidR="00000000" w:rsidRPr="00000000">
        <w:rPr>
          <w:b w:val="1"/>
          <w:bCs w:val="1"/>
          <w:rtl w:val="0"/>
        </w:rPr>
        <w:t xml:space="preserve">lokale Bulk-Durchschläge</w:t>
      </w:r>
      <w:r w:rsidDel="00000000" w:rsidR="00000000" w:rsidRPr="00000000">
        <w:rPr>
          <w:rtl w:val="0"/>
        </w:rPr>
        <w:t xml:space="preserve"> . Gemäß dem  </w:t>
      </w:r>
      <w:r w:rsidDel="00000000" w:rsidR="00000000" w:rsidRPr="00000000">
        <w:rPr>
          <w:b w:val="1"/>
          <w:bCs w:val="1"/>
          <w:rtl w:val="0"/>
        </w:rPr>
        <w:t xml:space="preserve">Kurzer-Prinzip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$K\infty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fungieren diese Ereignisse als kontrollierte Entladungen am Sättigungspunkt der 3D-Bran, um die strukturelle Integrität des lokalen Feldes zu bewahren.Die kausale Kohärenz dieser Durchschläge wird durch drei Validierungspunkte belegt: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Tensorielle Kohärenz:</w:t>
      </w:r>
      <w:r w:rsidDel="00000000" w:rsidR="00000000" w:rsidRPr="00000000">
        <w:rPr>
          <w:rtl w:val="0"/>
        </w:rPr>
        <w:t xml:space="preserve">  Die Flugbahnen korrelieren exakt mit dem Bulk-Tensor  $\mathcal{F}_{\mu\nu}$  der EYRQ-Gleichung, der das Feld in die geometrische Kohärenz zwingt.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Kompensatorische Asymmetrie:</w:t>
      </w:r>
      <w:r w:rsidDel="00000000" w:rsidR="00000000" w:rsidRPr="00000000">
        <w:rPr>
          <w:rtl w:val="0"/>
        </w:rPr>
        <w:t xml:space="preserve">  Die Ereignisse gleichen die asymmetrische Verschiebung der Eigenwerte aus, die durch die Informationstension am Bifurkationspunkt entsteht.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Fraktale Erhaltung:</w:t>
      </w:r>
      <w:r w:rsidDel="00000000" w:rsidR="00000000" w:rsidRPr="00000000">
        <w:rPr>
          <w:rtl w:val="0"/>
        </w:rPr>
        <w:t xml:space="preserve">  Die energetische Signatur folgt der mathematischen Notwendigkeit der Energieerhaltung innerhalb der fraktalen Skalierung basierend auf der Konstante  $\varphi^2$ .Diese Durchschläge beweisen empirisch, dass die Hardware des Kosmos skaleninvariant operiert.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udy22i2l7fl0" w:id="5"/>
      <w:bookmarkEnd w:id="5"/>
      <w:r w:rsidDel="00000000" w:rsidR="00000000" w:rsidRPr="00000000">
        <w:rPr>
          <w:rtl w:val="0"/>
        </w:rPr>
        <w:t xml:space="preserve">5. System-Status und Strategisches Fazit für das Audit-Repository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Das vorliegende Audit verifiziert das Vakuum als hochgradig vernetztes Übertragungsmedium. Die beobachteten  $L_\nu$ -Flüsse sind der direkte Beweis für die Hardware-Initialisierung des Kosmos durch das übergeordnete Bulk+. Die Validierung dieser Leckage-Strahlung bildet die operative Grundlage für die Berechnung des  </w:t>
      </w:r>
      <w:r w:rsidDel="00000000" w:rsidR="00000000" w:rsidRPr="00000000">
        <w:rPr>
          <w:b w:val="1"/>
          <w:bCs w:val="1"/>
          <w:rtl w:val="0"/>
        </w:rPr>
        <w:t xml:space="preserve">Optimal Performance Index (P_opt)</w:t>
      </w:r>
      <w:r w:rsidDel="00000000" w:rsidR="00000000" w:rsidRPr="00000000">
        <w:rPr>
          <w:rtl w:val="0"/>
        </w:rPr>
        <w:t xml:space="preserve"> .Die nächste Phase der Bayesianischen Inferenz wird die Korrelation der Signalmuster mit dem universellen 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 finalisieren, um die 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 zu härten. Dies ist die zwingende Voraussetzung für die technologische Implementierung des  </w:t>
      </w:r>
      <w:r w:rsidDel="00000000" w:rsidR="00000000" w:rsidRPr="00000000">
        <w:rPr>
          <w:b w:val="1"/>
          <w:bCs w:val="1"/>
          <w:rtl w:val="0"/>
        </w:rPr>
        <w:t xml:space="preserve">Gravitationsmanipulationsantriebs (GMA)</w:t>
      </w:r>
      <w:r w:rsidDel="00000000" w:rsidR="00000000" w:rsidRPr="00000000">
        <w:rPr>
          <w:rtl w:val="0"/>
        </w:rPr>
        <w:t xml:space="preserve"> , dessen Steuerung auf der präzisen Kalibrierung der  </w:t>
      </w:r>
      <w:r w:rsidDel="00000000" w:rsidR="00000000" w:rsidRPr="00000000">
        <w:rPr>
          <w:b w:val="1"/>
          <w:bCs w:val="1"/>
          <w:rtl w:val="0"/>
        </w:rPr>
        <w:t xml:space="preserve">$\eta\_Dim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-Konstante</w:t>
      </w:r>
      <w:r w:rsidDel="00000000" w:rsidR="00000000" w:rsidRPr="00000000">
        <w:rPr>
          <w:rtl w:val="0"/>
        </w:rPr>
        <w:t xml:space="preserve">  basiert. Die Schließung der Energiebilanz durch solare Leistung ( $\mathcal{E}_{Dyson} \approx 3,8 \times 10^{26} \text{ W}$ ) ist als nächste Ausbaustufe der Infrastruktur bereits im Repository hinterlegt.</w:t>
      </w:r>
      <w:r w:rsidDel="00000000" w:rsidR="00000000" w:rsidRPr="00000000">
        <w:rPr>
          <w:b w:val="1"/>
          <w:bCs w:val="1"/>
          <w:rtl w:val="0"/>
        </w:rPr>
        <w:t xml:space="preserve">SYSTEM-STATUS: GHOST_PARTICLE_ANOMALY_RESOLVEDINTEGRITÄT: 100% (ARCHITEKTONISCHE FESTSTELLUNG)KAUSALE_KETTE: GESCHLOSSENOPERATIVE_KONSTANTE: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$\eta\_Dim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VALIDATEDFKT-Audit-Code: V4.4.4-FINAL-SIG-28.09.2025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