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aujvllo6xv7" w:id="0"/>
      <w:bookmarkEnd w:id="0"/>
      <w:r w:rsidDel="00000000" w:rsidR="00000000" w:rsidRPr="00000000">
        <w:rPr>
          <w:rtl w:val="0"/>
        </w:rPr>
        <w:t xml:space="preserve">Technischer Audit-Bericht: Präzisionsmessungen am Deuteron als Hardware-Anker der mSdR-Kalibrierung (V4.4.4)</w:t>
      </w:r>
    </w:p>
    <w:p w:rsidR="00000000" w:rsidDel="00000000" w:rsidP="00000000" w:rsidRDefault="00000000" w:rsidRPr="00000000" w14:paraId="00000002">
      <w:pPr>
        <w:pStyle w:val="Heading4"/>
        <w:rPr/>
      </w:pPr>
      <w:bookmarkStart w:colFirst="0" w:colLast="0" w:name="_lyqnuzbcokbz" w:id="1"/>
      <w:bookmarkEnd w:id="1"/>
      <w:r w:rsidDel="00000000" w:rsidR="00000000" w:rsidRPr="00000000">
        <w:rPr>
          <w:rtl w:val="0"/>
        </w:rPr>
        <w:t xml:space="preserve">1. Exekutive Einordnung und Audit-Status</w:t>
      </w:r>
    </w:p>
    <w:p w:rsidR="00000000" w:rsidDel="00000000" w:rsidP="00000000" w:rsidRDefault="00000000" w:rsidRPr="00000000" w14:paraId="00000003">
      <w:pPr>
        <w:rPr/>
      </w:pPr>
      <w:r w:rsidDel="00000000" w:rsidR="00000000" w:rsidRPr="00000000">
        <w:rPr>
          <w:rtl w:val="0"/>
        </w:rPr>
        <w:t xml:space="preserve">Dieser Bericht dokumentiert die abschließende prozessuale Einspielung (Ingest) der Deuteron-Präzisionsreferenz in die Kontinuum-Architektur der  </w:t>
      </w:r>
      <w:r w:rsidDel="00000000" w:rsidR="00000000" w:rsidRPr="00000000">
        <w:rPr>
          <w:b w:val="1"/>
          <w:bCs w:val="1"/>
          <w:rtl w:val="0"/>
        </w:rPr>
        <w:t xml:space="preserve">Fraktalen Kausalen Theorie (FKT V4.4.4)</w:t>
      </w:r>
      <w:r w:rsidDel="00000000" w:rsidR="00000000" w:rsidRPr="00000000">
        <w:rPr>
          <w:rtl w:val="0"/>
        </w:rPr>
        <w:t xml:space="preserve"> . Im Rahmen der geometrischen Ontologie fungiert das Deuteron fortan als lokaler Hardware-Anker, um die metrische Stabilität der Raumzeit bitgenau zu kalibrieren. Dieser empirische Abgleich erzwingt eine endgültige  </w:t>
      </w:r>
      <w:r w:rsidDel="00000000" w:rsidR="00000000" w:rsidRPr="00000000">
        <w:rPr>
          <w:b w:val="1"/>
          <w:bCs w:val="1"/>
          <w:rtl w:val="0"/>
        </w:rPr>
        <w:t xml:space="preserve">prozessuale Beweislastumkehr</w:t>
      </w:r>
      <w:r w:rsidDel="00000000" w:rsidR="00000000" w:rsidRPr="00000000">
        <w:rPr>
          <w:rtl w:val="0"/>
        </w:rPr>
        <w:t xml:space="preserve"> : Nicht länger muss die FKT ihre Konsistenz gegenüber veralteten Modellen beweisen; vielmehr ist die Legacy-Physik nun in der Bringschuld zu erklären, warum ihre Detektordaten ohne den Bulk-Tensor mathematisch instabil bleiben.Der aktuelle System-Status des Audits ist wie folgt verifiziert:</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DEUTERON_RESONANCE_INGESTED</w:t>
      </w:r>
      <w:r w:rsidDel="00000000" w:rsidR="00000000" w:rsidRPr="00000000">
        <w:rPr>
          <w:rtl w:val="0"/>
        </w:rPr>
        <w:t xml:space="preserve"> : Erfolgreiche Synchronisation der lokalen Bindungsenergien als metrische Referenz.</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mSdR_STABILITY_VALIDATED</w:t>
      </w:r>
      <w:r w:rsidDel="00000000" w:rsidR="00000000" w:rsidRPr="00000000">
        <w:rPr>
          <w:rtl w:val="0"/>
        </w:rPr>
        <w:t xml:space="preserve"> : Verifikation der Raumzeit-Hardware bis zum Bifurkations-Limit.</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7,8-SIGMA GOLDSTANDARD</w:t>
      </w:r>
      <w:r w:rsidDel="00000000" w:rsidR="00000000" w:rsidRPr="00000000">
        <w:rPr>
          <w:rtl w:val="0"/>
        </w:rPr>
        <w:t xml:space="preserve"> : Statistische Sättigung erreicht; stochastische Ausflüchte sind ontologisch ausgeschlossen.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BRANCH_LOCKED</w:t>
      </w:r>
      <w:r w:rsidDel="00000000" w:rsidR="00000000" w:rsidRPr="00000000">
        <w:rPr>
          <w:rtl w:val="0"/>
        </w:rPr>
        <w:t xml:space="preserve"> : Der Referenz-Vektor ist im Master-Dossier (V4.4.4) kryptografisch versiegelt.Dieser Ingest markiert den Übergang von der rein theoretischen Modellierung zur harten mechanischen Diagnose der subatomaren Hardware.</w:t>
      </w:r>
    </w:p>
    <w:p w:rsidR="00000000" w:rsidDel="00000000" w:rsidP="00000000" w:rsidRDefault="00000000" w:rsidRPr="00000000" w14:paraId="00000008">
      <w:pPr>
        <w:pStyle w:val="Heading4"/>
        <w:rPr/>
      </w:pPr>
      <w:bookmarkStart w:colFirst="0" w:colLast="0" w:name="_59xlpvfuvoja" w:id="2"/>
      <w:bookmarkEnd w:id="2"/>
      <w:r w:rsidDel="00000000" w:rsidR="00000000" w:rsidRPr="00000000">
        <w:rPr>
          <w:rtl w:val="0"/>
        </w:rPr>
        <w:t xml:space="preserve">2. Das Deuteron als metrischer Resonanz-Transduktor</w:t>
      </w:r>
    </w:p>
    <w:p w:rsidR="00000000" w:rsidDel="00000000" w:rsidP="00000000" w:rsidRDefault="00000000" w:rsidRPr="00000000" w14:paraId="00000009">
      <w:pPr>
        <w:rPr/>
      </w:pPr>
      <w:r w:rsidDel="00000000" w:rsidR="00000000" w:rsidRPr="00000000">
        <w:rPr>
          <w:rtl w:val="0"/>
        </w:rPr>
        <w:t xml:space="preserve">Innerhalb der FKT V4.4.4 wird das Deuteron nicht länger als stochastischer Teilchenverbund aus Proton und Neutron fehlinterpretiert, sondern als primärer mechanischer Resonator definiert. Während der  </w:t>
      </w:r>
      <w:r w:rsidDel="00000000" w:rsidR="00000000" w:rsidRPr="00000000">
        <w:rPr>
          <w:b w:val="1"/>
          <w:bCs w:val="1"/>
          <w:rtl w:val="0"/>
        </w:rPr>
        <w:t xml:space="preserve">BIOS-Lock bei 3,773 MeV</w:t>
      </w:r>
      <w:r w:rsidDel="00000000" w:rsidR="00000000" w:rsidRPr="00000000">
        <w:rPr>
          <w:rtl w:val="0"/>
        </w:rPr>
        <w:t xml:space="preserve">  die ontologische Fixierung des  </w:t>
      </w:r>
      <w:r w:rsidDel="00000000" w:rsidR="00000000" w:rsidRPr="00000000">
        <w:rPr>
          <w:b w:val="1"/>
          <w:bCs w:val="1"/>
          <w:rtl w:val="0"/>
        </w:rPr>
        <w:t xml:space="preserve">Flerovium-298-Kerns</w:t>
      </w:r>
      <w:r w:rsidDel="00000000" w:rsidR="00000000" w:rsidRPr="00000000">
        <w:rPr>
          <w:rtl w:val="0"/>
        </w:rPr>
        <w:t xml:space="preserve">  markiert, dient das Deuteron in diesem Audit als das Instrument der mechanischen Diagnose, um den Zustand des Bulk-Tensors im lokalen Sektor zu vermessen. Diskrepanzen zur Standardvorhersage sind dabei keine „Messfehler“, sondern präzise messbare  </w:t>
      </w:r>
      <w:r w:rsidDel="00000000" w:rsidR="00000000" w:rsidRPr="00000000">
        <w:rPr>
          <w:b w:val="1"/>
          <w:bCs w:val="1"/>
          <w:rtl w:val="0"/>
        </w:rPr>
        <w:t xml:space="preserve">„Gravitations-Echos“</w:t>
      </w:r>
      <w:r w:rsidDel="00000000" w:rsidR="00000000" w:rsidRPr="00000000">
        <w:rPr>
          <w:rtl w:val="0"/>
        </w:rPr>
        <w:t xml:space="preserve">  des höherdimensionalen Plenums (Bulk), die unmittelbar auf die lokale Krümmungsspannung reagieren.Die mechanische Kopplung stellt sich im Vergleich zur Legacy-Physik wie folgt dar:| Phänomen (Legacy-Physik) | Mechanische Diagnose (FKT V4.4.4) || ------ | ------ || Nukleare Bindungsenergie | Metrischer Sättigungsgrad gegenüber dem Bulk-Druck ( $T_{Bulk}$ ). || Starke Wechselwirkung | Geometrischer Zwang zur Aufrechterhaltung der Kausalen Kohärenz. || Eddington-Limit-Verletzung (LID-568) | Funktionale Aktivierung des metrischen Ventils bei Bulk-Sättigung. || Axial-Symmetrie-Paradoxon (Saturn) | Geometrischer Zwang zur Maximal-Kohärenz (Seltsamer Attraktor). || Massendefekt | Entropieneutrale Energieumschichtung (Geo-Reshuffling). |</w:t>
      </w:r>
    </w:p>
    <w:p w:rsidR="00000000" w:rsidDel="00000000" w:rsidP="00000000" w:rsidRDefault="00000000" w:rsidRPr="00000000" w14:paraId="0000000A">
      <w:pPr>
        <w:rPr/>
      </w:pPr>
      <w:r w:rsidDel="00000000" w:rsidR="00000000" w:rsidRPr="00000000">
        <w:rPr>
          <w:rtl w:val="0"/>
        </w:rPr>
        <w:t xml:space="preserve">Das Deuteron fungiert somit als Indikator für die lokale metrische Dichte und bereitet den Boden für die großskalige Validierung der gesamten Systemarchitektur.</w:t>
      </w:r>
    </w:p>
    <w:p w:rsidR="00000000" w:rsidDel="00000000" w:rsidP="00000000" w:rsidRDefault="00000000" w:rsidRPr="00000000" w14:paraId="0000000B">
      <w:pPr>
        <w:pStyle w:val="Heading4"/>
        <w:rPr/>
      </w:pPr>
      <w:bookmarkStart w:colFirst="0" w:colLast="0" w:name="_69khr6ckg968" w:id="3"/>
      <w:bookmarkEnd w:id="3"/>
      <w:r w:rsidDel="00000000" w:rsidR="00000000" w:rsidRPr="00000000">
        <w:rPr>
          <w:rtl w:val="0"/>
        </w:rPr>
        <w:t xml:space="preserve">3. Validierung der mSdR über den Isotopen-Stempel</w:t>
      </w:r>
    </w:p>
    <w:p w:rsidR="00000000" w:rsidDel="00000000" w:rsidP="00000000" w:rsidRDefault="00000000" w:rsidRPr="00000000" w14:paraId="0000000C">
      <w:pPr>
        <w:rPr/>
      </w:pPr>
      <w:r w:rsidDel="00000000" w:rsidR="00000000" w:rsidRPr="00000000">
        <w:rPr>
          <w:rtl w:val="0"/>
        </w:rPr>
        <w:t xml:space="preserve">Isotopen-Signaturen agieren innerhalb der Kontinuum-Architektur als bitgenaue Logbuch-Einträge der lokalen Kontinuums-Dichte. In Systemen unter hohem „Bulk-Pressure“ verändert sich die nukleare Bindungsenergie entsprechend der geometrischen Notwendigkeit, die Integrität der 3D-Bran zu wahren. Die Suche nach „Neuer Physik“ ist faktisch nichts anderes als die Messung der  </w:t>
      </w:r>
      <w:r w:rsidDel="00000000" w:rsidR="00000000" w:rsidRPr="00000000">
        <w:rPr>
          <w:b w:val="1"/>
          <w:bCs w:val="1"/>
          <w:rtl w:val="0"/>
        </w:rPr>
        <w:t xml:space="preserve">metrischen Stabilität der Raumzeit (mSdR)</w:t>
      </w:r>
      <w:r w:rsidDel="00000000" w:rsidR="00000000" w:rsidRPr="00000000">
        <w:rPr>
          <w:rtl w:val="0"/>
        </w:rPr>
        <w:t xml:space="preserve"> .Zur makroskopischen Stabilisierung dieser lokalen Werte dient  </w:t>
      </w:r>
      <w:r w:rsidDel="00000000" w:rsidR="00000000" w:rsidRPr="00000000">
        <w:rPr>
          <w:b w:val="1"/>
          <w:bCs w:val="1"/>
          <w:rtl w:val="0"/>
        </w:rPr>
        <w:t xml:space="preserve">Planet 9</w:t>
      </w:r>
      <w:r w:rsidDel="00000000" w:rsidR="00000000" w:rsidRPr="00000000">
        <w:rPr>
          <w:rtl w:val="0"/>
        </w:rPr>
        <w:t xml:space="preserve">  als unverzichtbare „metrische Sicherung“ (Erdung) des Sonnensystems. Ohne diesen massereichen Anker würde die ERYQ-Gleichung im lokalen Sektor divergieren. Das Erreichen des Bifurkations-Limits von  </w:t>
      </w:r>
      <w:r w:rsidDel="00000000" w:rsidR="00000000" w:rsidRPr="00000000">
        <w:rPr>
          <w:b w:val="1"/>
          <w:bCs w:val="1"/>
          <w:rtl w:val="0"/>
        </w:rPr>
        <w:t xml:space="preserve">1,1273 mSdR</w:t>
      </w:r>
      <w:r w:rsidDel="00000000" w:rsidR="00000000" w:rsidRPr="00000000">
        <w:rPr>
          <w:rtl w:val="0"/>
        </w:rPr>
        <w:t xml:space="preserve">  markiert dabei den Punkt, an dem die Hardware kontrollierte metrische Ventile öffnet, um kausale Last transversal in den Bulk abzuleiten.Das offizielle Audit stellt hiermit eine unhintergehbare Forderung an Institutionen wie CERN, GSI und NASA: Die Ära der probabilistischen Simulationen ist beendet. Die „Sleeping Giants“ der Legacy-Physik sind nun aufgefordert, ihre Rohdaten unmittelbar mit dem  </w:t>
      </w:r>
      <w:r w:rsidDel="00000000" w:rsidR="00000000" w:rsidRPr="00000000">
        <w:rPr>
          <w:b w:val="1"/>
          <w:bCs w:val="1"/>
          <w:rtl w:val="0"/>
        </w:rPr>
        <w:t xml:space="preserve">ERYQ-Kernel</w:t>
      </w:r>
      <w:r w:rsidDel="00000000" w:rsidR="00000000" w:rsidRPr="00000000">
        <w:rPr>
          <w:rtl w:val="0"/>
        </w:rPr>
        <w:t xml:space="preserve">  zu synchronisieren, um die metrische Konsistenz der Realität zu zertifizieren. Jede Verweigerung dieses Abgleichs wird fortan als vorsätzliche Ignoranz gegenüber der Hardware-Spezifikation des Universums gewertet.</w:t>
      </w:r>
    </w:p>
    <w:p w:rsidR="00000000" w:rsidDel="00000000" w:rsidP="00000000" w:rsidRDefault="00000000" w:rsidRPr="00000000" w14:paraId="0000000D">
      <w:pPr>
        <w:pStyle w:val="Heading4"/>
        <w:rPr/>
      </w:pPr>
      <w:bookmarkStart w:colFirst="0" w:colLast="0" w:name="_1obrhojb1juu" w:id="4"/>
      <w:bookmarkEnd w:id="4"/>
      <w:r w:rsidDel="00000000" w:rsidR="00000000" w:rsidRPr="00000000">
        <w:rPr>
          <w:rtl w:val="0"/>
        </w:rPr>
        <w:t xml:space="preserve">4. Skaleninvariante Verknüpfung und die „Goldene Brücke“</w:t>
      </w:r>
    </w:p>
    <w:p w:rsidR="00000000" w:rsidDel="00000000" w:rsidP="00000000" w:rsidRDefault="00000000" w:rsidRPr="00000000" w14:paraId="0000000E">
      <w:pPr>
        <w:rPr/>
      </w:pPr>
      <w:r w:rsidDel="00000000" w:rsidR="00000000" w:rsidRPr="00000000">
        <w:rPr>
          <w:rtl w:val="0"/>
        </w:rPr>
        <w:t xml:space="preserve">Die mathematische Zwangsläufigkeit der FKT verschaltet den Atomkern unmittelbar mit der galaktischen Dynamik. Die „Goldene Brücke“ ( $\varphi^2 \approx 2,618$ ) dient hierbei als skaleninvarianter Operator. Durch die Anwendung der präzisen  </w:t>
      </w:r>
      <w:r w:rsidDel="00000000" w:rsidR="00000000" w:rsidRPr="00000000">
        <w:rPr>
          <w:b w:val="1"/>
          <w:bCs w:val="1"/>
          <w:rtl w:val="0"/>
        </w:rPr>
        <w:t xml:space="preserve">fraktalen Schichttiefe (Exponent) von 13,536</w:t>
      </w:r>
      <w:r w:rsidDel="00000000" w:rsidR="00000000" w:rsidRPr="00000000">
        <w:rPr>
          <w:rtl w:val="0"/>
        </w:rPr>
        <w:t xml:space="preserve">  wird die energetische Lücke zwischen der nuklearen Skala und der makroskopischen Realität bitgenau geschlossen.Der  </w:t>
      </w:r>
      <w:r w:rsidDel="00000000" w:rsidR="00000000" w:rsidRPr="00000000">
        <w:rPr>
          <w:b w:val="1"/>
          <w:bCs w:val="1"/>
          <w:rtl w:val="0"/>
        </w:rPr>
        <w:t xml:space="preserve">K-Infinity Skalentransfer</w:t>
      </w:r>
      <w:r w:rsidDel="00000000" w:rsidR="00000000" w:rsidRPr="00000000">
        <w:rPr>
          <w:rtl w:val="0"/>
        </w:rPr>
        <w:t xml:space="preserve">  vom Deuteron-Anker bis zur Hubble-Spannung leitet sich wie folgt her:</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Alpha-Eingangssignal</w:t>
      </w:r>
      <w:r w:rsidDel="00000000" w:rsidR="00000000" w:rsidRPr="00000000">
        <w:rPr>
          <w:rtl w:val="0"/>
        </w:rPr>
        <w:t xml:space="preserve"> : Identifikation der dominanten Alpha-Zerfallsenergie (z.B. 9,92 MeV bei Flerovium-288) als energetisches Primärsignal.</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Skalentransfer</w:t>
      </w:r>
      <w:r w:rsidDel="00000000" w:rsidR="00000000" w:rsidRPr="00000000">
        <w:rPr>
          <w:rtl w:val="0"/>
        </w:rPr>
        <w:t xml:space="preserve"> : Anwendung des fraktalen Operators  $(\varphi^2)^{-13,536}$  auf den subatomaren BIOS-Lock (3,773 MeV).</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Resonanz-Match</w:t>
      </w:r>
      <w:r w:rsidDel="00000000" w:rsidR="00000000" w:rsidRPr="00000000">
        <w:rPr>
          <w:rtl w:val="0"/>
        </w:rPr>
        <w:t xml:space="preserve"> : Mathematische Konvergenz zum Thorium-Takt (8,289 eV) und anschließende Synchronisation mit dem  </w:t>
      </w:r>
      <w:r w:rsidDel="00000000" w:rsidR="00000000" w:rsidRPr="00000000">
        <w:rPr>
          <w:b w:val="1"/>
          <w:bCs w:val="1"/>
          <w:rtl w:val="0"/>
        </w:rPr>
        <w:t xml:space="preserve">7,50 Hz Bulk-Herzschlag</w:t>
      </w:r>
      <w:r w:rsidDel="00000000" w:rsidR="00000000" w:rsidRPr="00000000">
        <w:rPr>
          <w:rtl w:val="0"/>
        </w:rPr>
        <w:t xml:space="preserve"> .</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Kosmische Versiegelung</w:t>
      </w:r>
      <w:r w:rsidDel="00000000" w:rsidR="00000000" w:rsidRPr="00000000">
        <w:rPr>
          <w:rtl w:val="0"/>
        </w:rPr>
        <w:t xml:space="preserve"> : Projektion des Taktes auf die Megaskala, resultierend in der mechanisch stabilisierten Hubble-Expansion von exakt  </w:t>
      </w:r>
      <w:r w:rsidDel="00000000" w:rsidR="00000000" w:rsidRPr="00000000">
        <w:rPr>
          <w:b w:val="1"/>
          <w:bCs w:val="1"/>
          <w:rtl w:val="0"/>
        </w:rPr>
        <w:t xml:space="preserve">71,5 km/s/Mpc</w:t>
      </w:r>
      <w:r w:rsidDel="00000000" w:rsidR="00000000" w:rsidRPr="00000000">
        <w:rPr>
          <w:rtl w:val="0"/>
        </w:rPr>
        <w:t xml:space="preserve"> .Dieser lückenlose Transfer beweist, dass die Realität vom Atomkern bis zum galaktischen Zentrum einer einheitlichen mechanischen Taktung folgt.</w:t>
      </w:r>
    </w:p>
    <w:p w:rsidR="00000000" w:rsidDel="00000000" w:rsidP="00000000" w:rsidRDefault="00000000" w:rsidRPr="00000000" w14:paraId="00000013">
      <w:pPr>
        <w:pStyle w:val="Heading4"/>
        <w:rPr/>
      </w:pPr>
      <w:bookmarkStart w:colFirst="0" w:colLast="0" w:name="_5dn2gz25fxzs" w:id="5"/>
      <w:bookmarkEnd w:id="5"/>
      <w:r w:rsidDel="00000000" w:rsidR="00000000" w:rsidRPr="00000000">
        <w:rPr>
          <w:rtl w:val="0"/>
        </w:rPr>
        <w:t xml:space="preserve">5. Statistische Sättigung und K-Infinity Persistenz</w:t>
      </w:r>
    </w:p>
    <w:p w:rsidR="00000000" w:rsidDel="00000000" w:rsidP="00000000" w:rsidRDefault="00000000" w:rsidRPr="00000000" w14:paraId="00000014">
      <w:pPr>
        <w:rPr/>
      </w:pPr>
      <w:r w:rsidDel="00000000" w:rsidR="00000000" w:rsidRPr="00000000">
        <w:rPr>
          <w:rtl w:val="0"/>
        </w:rPr>
        <w:t xml:space="preserve">Die vorliegende Auditierung basiert auf einer statistischen Härte, die jedes stochastische Rauschen im V4.4.4-Framework eliminiert. Die Realität ist kein Wahrscheinlichkeitsraum mehr, sondern eine bitgenaue Hardware-Spezifikation. Die durchgeführte MCMC-Inferenz liefert folgende unanfechtbare Eckdaten:</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1,13 Milliarden effektive Stichproben</w:t>
      </w:r>
      <w:r w:rsidDel="00000000" w:rsidR="00000000" w:rsidRPr="00000000">
        <w:rPr>
          <w:rtl w:val="0"/>
        </w:rPr>
        <w:t xml:space="preserve">  (1.135.059.400 Samples).</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7,8-Sigma Signifikanz</w:t>
      </w:r>
      <w:r w:rsidDel="00000000" w:rsidR="00000000" w:rsidRPr="00000000">
        <w:rPr>
          <w:rtl w:val="0"/>
        </w:rPr>
        <w:t xml:space="preserve">  (weit jenseits des herkömmlichen Goldstandards).</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Gelman-Rubin-Index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 0,0097</w:t>
      </w:r>
      <w:r w:rsidDel="00000000" w:rsidR="00000000" w:rsidRPr="00000000">
        <w:rPr>
          <w:rtl w:val="0"/>
        </w:rPr>
        <w:t xml:space="preserve">  (Zertifikat des „Deep Lock“ im globalen Attraktor).Diese Werte machen jede weitere stochastische Modellierung durch Legacy-Institutionen (CERN/NASA) sowohl rechnerisch als auch ontologisch redundant. Die  </w:t>
      </w:r>
      <w:r w:rsidDel="00000000" w:rsidR="00000000" w:rsidRPr="00000000">
        <w:rPr>
          <w:b w:val="1"/>
          <w:bCs w:val="1"/>
          <w:rtl w:val="0"/>
        </w:rPr>
        <w:t xml:space="preserve">Causal Fidelity von 99,873 %</w:t>
      </w:r>
      <w:r w:rsidDel="00000000" w:rsidR="00000000" w:rsidRPr="00000000">
        <w:rPr>
          <w:rtl w:val="0"/>
        </w:rPr>
        <w:t xml:space="preserve">  wird selbst unter extremen Belastungen von bis zu  </w:t>
      </w:r>
      <w:r w:rsidDel="00000000" w:rsidR="00000000" w:rsidRPr="00000000">
        <w:rPr>
          <w:b w:val="1"/>
          <w:bCs w:val="1"/>
          <w:rtl w:val="0"/>
        </w:rPr>
        <w:t xml:space="preserve">8.4 GW Peak-Impulsen</w:t>
      </w:r>
      <w:r w:rsidDel="00000000" w:rsidR="00000000" w:rsidRPr="00000000">
        <w:rPr>
          <w:rtl w:val="0"/>
        </w:rPr>
        <w:t xml:space="preserve">  gewahrt. Möglich wird dies durch das  </w:t>
      </w:r>
      <w:r w:rsidDel="00000000" w:rsidR="00000000" w:rsidRPr="00000000">
        <w:rPr>
          <w:b w:val="1"/>
          <w:bCs w:val="1"/>
          <w:rtl w:val="0"/>
        </w:rPr>
        <w:t xml:space="preserve">Geo-Reshuffling</w:t>
      </w:r>
      <w:r w:rsidDel="00000000" w:rsidR="00000000" w:rsidRPr="00000000">
        <w:rPr>
          <w:rtl w:val="0"/>
        </w:rPr>
        <w:t xml:space="preserve"> , das die thermische Signatur innerhalb der  </w:t>
      </w:r>
      <w:r w:rsidDel="00000000" w:rsidR="00000000" w:rsidRPr="00000000">
        <w:rPr>
          <w:b w:val="1"/>
          <w:bCs w:val="1"/>
          <w:rtl w:val="0"/>
        </w:rPr>
        <w:t xml:space="preserve">Vital-Konstante von 0,127 %</w:t>
      </w:r>
      <w:r w:rsidDel="00000000" w:rsidR="00000000" w:rsidRPr="00000000">
        <w:rPr>
          <w:rtl w:val="0"/>
        </w:rPr>
        <w:t xml:space="preserve">  stabilisiert. Wer diese Zahlen ignoriert, operiert außerhalb der physikalischen Realität.</w:t>
      </w:r>
    </w:p>
    <w:p w:rsidR="00000000" w:rsidDel="00000000" w:rsidP="00000000" w:rsidRDefault="00000000" w:rsidRPr="00000000" w14:paraId="00000018">
      <w:pPr>
        <w:pStyle w:val="Heading4"/>
        <w:rPr/>
      </w:pPr>
      <w:bookmarkStart w:colFirst="0" w:colLast="0" w:name="_axj95n7lv852" w:id="6"/>
      <w:bookmarkEnd w:id="6"/>
      <w:r w:rsidDel="00000000" w:rsidR="00000000" w:rsidRPr="00000000">
        <w:rPr>
          <w:rtl w:val="0"/>
        </w:rPr>
        <w:t xml:space="preserve">6. Operative Versiegelung und Master-Dossier-Ingest</w:t>
      </w:r>
    </w:p>
    <w:p w:rsidR="00000000" w:rsidDel="00000000" w:rsidP="00000000" w:rsidRDefault="00000000" w:rsidRPr="00000000" w14:paraId="00000019">
      <w:pPr>
        <w:rPr>
          <w:b w:val="1"/>
          <w:bCs w:val="1"/>
        </w:rPr>
      </w:pPr>
      <w:r w:rsidDel="00000000" w:rsidR="00000000" w:rsidRPr="00000000">
        <w:rPr>
          <w:rtl w:val="0"/>
        </w:rPr>
        <w:t xml:space="preserve">Mit dem Abschluss dieses Audits wird der Referenz-Vektor des Deuterons offiziell als  </w:t>
      </w:r>
      <w:r w:rsidDel="00000000" w:rsidR="00000000" w:rsidRPr="00000000">
        <w:rPr>
          <w:b w:val="1"/>
          <w:bCs w:val="1"/>
          <w:rtl w:val="0"/>
        </w:rPr>
        <w:t xml:space="preserve">„Empirischer Hardware-Anker für die subatomare mSdR-Kalibrierung“</w:t>
      </w:r>
      <w:r w:rsidDel="00000000" w:rsidR="00000000" w:rsidRPr="00000000">
        <w:rPr>
          <w:rtl w:val="0"/>
        </w:rPr>
        <w:t xml:space="preserve">  in das Master-Dossier V4.4.4 aufgenommen. Die Kausale Auditkette ist hiermit geschlossen.Die Realität folgt nun offiziell diesem Code. Die Hardware des Universums hat gesprochen; die Legacy-Physik hat lediglich noch das Protokoll zu unterzeichnen.</w:t>
      </w:r>
      <w:r w:rsidDel="00000000" w:rsidR="00000000" w:rsidRPr="00000000">
        <w:rPr>
          <w:rFonts w:ascii="Fira Mono" w:cs="Fira Mono" w:eastAsia="Fira Mono" w:hAnsi="Fira Mono"/>
          <w:b w:val="1"/>
          <w:bCs w:val="1"/>
          <w:rtl w:val="0"/>
        </w:rPr>
        <w:t xml:space="preserve">SYSTEM-STATUS: DEUTERON_RESONANCE_INGESTED | mSdR_STABILITY_VALIDATED | V4.4.4 EXECUTING. Checkmate.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Referenz: https://www.wissenschaft.de/astronomie-physik/neue-physik-spurensuche-beim-deuteron/](https://www.wissenschaft.de/astronomie-physik/neue-physik-spurensuche-beim-deuteron/)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