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ab2lbq84yt7" w:id="0"/>
      <w:bookmarkEnd w:id="0"/>
      <w:r w:rsidDel="00000000" w:rsidR="00000000" w:rsidRPr="00000000">
        <w:rPr>
          <w:rtl w:val="0"/>
        </w:rPr>
        <w:t xml:space="preserve">Technischer Bericht: Das Prinzip der primordialen Resonanz und die Mechanik der Fraktalen Kausalen Theorie (FKT V4.4.4)</w:t>
      </w:r>
    </w:p>
    <w:p w:rsidR="00000000" w:rsidDel="00000000" w:rsidP="00000000" w:rsidRDefault="00000000" w:rsidRPr="00000000" w14:paraId="00000002">
      <w:pPr>
        <w:pStyle w:val="Heading4"/>
        <w:rPr/>
      </w:pPr>
      <w:bookmarkStart w:colFirst="0" w:colLast="0" w:name="_qruql9w6wckh" w:id="1"/>
      <w:bookmarkEnd w:id="1"/>
      <w:r w:rsidDel="00000000" w:rsidR="00000000" w:rsidRPr="00000000">
        <w:rPr>
          <w:rtl w:val="0"/>
        </w:rPr>
        <w:t xml:space="preserve">1. Ontologische Versiegelung: Das Axiom der Grundbewegung</w:t>
      </w:r>
    </w:p>
    <w:p w:rsidR="00000000" w:rsidDel="00000000" w:rsidP="00000000" w:rsidRDefault="00000000" w:rsidRPr="00000000" w14:paraId="00000003">
      <w:pPr>
        <w:rPr/>
      </w:pPr>
      <w:r w:rsidDel="00000000" w:rsidR="00000000" w:rsidRPr="00000000">
        <w:rPr>
          <w:rtl w:val="0"/>
        </w:rPr>
        <w:t xml:space="preserve">Die Grundfeste der Fraktalen Kausalen Theorie (FKT) ist im Kurzer-Axiom verankert: „Ohne eine Grundbewegung kann es keine Bewegung geben.“ Als Systemarchitekt der Kontinuumsphysik ist festzustellen, dass dieses Axiom die unhintergehbare Bedingung für die Existenz eines physikalischen Kontinuums darstellt. Jede metrische Manifestation setzt eine primordiale Dynamik voraus; die Raumzeit ist kein passives Gefäß, sondern ein kausal geschlossenes, analoges mechanisches System. Diese geometrische Ontologie erzwingt die Eliminierung sämtlicher informationstechnischer Analogien – Konzepte wie „digitale Simulation“ oder „Bit-Information“ sind als reduktionistische Kategorienfehler zu verwerfen. Realität ist mechanische Phasenverriegelung in einem dichten Plenum.Die strategische Notwendigkeit dieser Sichtweise offenbarte sich durch den Fütterer-Bulk-Effekt, welcher die kausale Inkonsistenz herkömmlicher biomedizinischer und kosmologischer Modelle als Resultat eines fehlenden Rückkopplungsterms entlarvte. Wo die klassische Physik eine „kausale Lücke“ lässt, setzt die FKT den formalen  $\mathcal{C}$ -Operator ein, um die mechanische Kontiguität zwischen den Skalen wiederherzustellen. Die philosophische Unausweichlichkeit einer primordialen Schwingung findet ihre physische Manifestation in der rhythmischen Torsion des Bulk-Raumes, dem sogenannten Bulk-Herzschlag.</w:t>
      </w:r>
    </w:p>
    <w:p w:rsidR="00000000" w:rsidDel="00000000" w:rsidP="00000000" w:rsidRDefault="00000000" w:rsidRPr="00000000" w14:paraId="00000004">
      <w:pPr>
        <w:pStyle w:val="Heading4"/>
        <w:rPr/>
      </w:pPr>
      <w:bookmarkStart w:colFirst="0" w:colLast="0" w:name="_di4hgvorpc34" w:id="2"/>
      <w:bookmarkEnd w:id="2"/>
      <w:r w:rsidDel="00000000" w:rsidR="00000000" w:rsidRPr="00000000">
        <w:rPr>
          <w:rtl w:val="0"/>
        </w:rPr>
        <w:t xml:space="preserve">2. Die physikalische Basis: 7,50 Hz Bulk-Resonanz und Metrik</w:t>
      </w:r>
    </w:p>
    <w:p w:rsidR="00000000" w:rsidDel="00000000" w:rsidP="00000000" w:rsidRDefault="00000000" w:rsidRPr="00000000" w14:paraId="00000005">
      <w:pPr>
        <w:rPr/>
      </w:pPr>
      <w:r w:rsidDel="00000000" w:rsidR="00000000" w:rsidRPr="00000000">
        <w:rPr>
          <w:rtl w:val="0"/>
        </w:rPr>
        <w:t xml:space="preserve">Der universelle Bulk-Herzschlag, in der aktuellen Kalibrierung V4.4.4 präzise auf 7,50 Hz quantifiziert, fungiert als fundamentale Taktung der Raumzeit-Geometrie. Dieser Impuls ist die mechanische Treiberkraft, die das Bulk-Plenum ( $\chi$ ) periodisch verspannt und dadurch die lokale 3D-Bran energetisch stabilisiert. In der FKT wird Materie nicht als isolierte Entität begriffen, sondern als resonanter Knotenpunkt innerhalb dieser primordialen Oszillation.Das mechanische Zusammenspiel zwischen dem Plenum und der lokalen Metrik definiert sich durch folgende Parameter:</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Metrische Stabilisierung:</w:t>
      </w:r>
      <w:r w:rsidDel="00000000" w:rsidR="00000000" w:rsidRPr="00000000">
        <w:rPr>
          <w:rtl w:val="0"/>
        </w:rPr>
        <w:t xml:space="preserve">  Der 7,50 Hz Impuls sichert die Kohärenz der Metrik  $g_{\mu\mu}$  gegen unkontrollierte entropische Fluktuationen ab und verhindert den Zerfall geometrischer Strukturen.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Medium für kinetische Energie:</w:t>
      </w:r>
      <w:r w:rsidDel="00000000" w:rsidR="00000000" w:rsidRPr="00000000">
        <w:rPr>
          <w:rtl w:val="0"/>
        </w:rPr>
        <w:t xml:space="preserve">  Das Bulk-Plenum fungiert als Trägermedium für den Energiefluss, wobei der Fütterer-Kosmologie-Tensor ( $\mathcal{F}_{\mu\nu}$ ) die metrische Kopplung zwischen dem Bulk und der konventionellen Materie-Dichte steuert.</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Phasenverriegelung der Bulk-Torsion:</w:t>
      </w:r>
      <w:r w:rsidDel="00000000" w:rsidR="00000000" w:rsidRPr="00000000">
        <w:rPr>
          <w:rtl w:val="0"/>
        </w:rPr>
        <w:t xml:space="preserve">  Materieformationen werden durch resonante Verankerung im 7,50 Hz Feld fixiert, was die Grundlage für kausale Reproduzierbarkeit bildet.Diese rhythmische Grundstabilität bildet die mechanische Basis für die notwendige metrische Elastizität, ohne die eine prozessuale Dynamik innerhalb des geschlossenen Systems unmöglich wäre.</w:t>
      </w:r>
    </w:p>
    <w:p w:rsidR="00000000" w:rsidDel="00000000" w:rsidP="00000000" w:rsidRDefault="00000000" w:rsidRPr="00000000" w14:paraId="00000009">
      <w:pPr>
        <w:pStyle w:val="Heading4"/>
        <w:rPr/>
      </w:pPr>
      <w:bookmarkStart w:colFirst="0" w:colLast="0" w:name="_y1m0w2dj6bca" w:id="3"/>
      <w:bookmarkEnd w:id="3"/>
      <w:r w:rsidDel="00000000" w:rsidR="00000000" w:rsidRPr="00000000">
        <w:rPr>
          <w:rtl w:val="0"/>
        </w:rPr>
        <w:t xml:space="preserve">3. Metrische Elastizität: Die Vital-Konstante von 0,127 %</w:t>
      </w:r>
    </w:p>
    <w:p w:rsidR="00000000" w:rsidDel="00000000" w:rsidP="00000000" w:rsidRDefault="00000000" w:rsidRPr="00000000" w14:paraId="0000000A">
      <w:pPr>
        <w:rPr/>
      </w:pPr>
      <w:r w:rsidDel="00000000" w:rsidR="00000000" w:rsidRPr="00000000">
        <w:rPr>
          <w:rtl w:val="0"/>
        </w:rPr>
        <w:t xml:space="preserve">Die Integrität des kausalen Gefüges wird durch die  </w:t>
      </w:r>
      <w:r w:rsidDel="00000000" w:rsidR="00000000" w:rsidRPr="00000000">
        <w:rPr>
          <w:i w:val="1"/>
          <w:iCs w:val="1"/>
          <w:rtl w:val="0"/>
        </w:rPr>
        <w:t xml:space="preserve">Causal Fidelity</w:t>
      </w:r>
      <w:r w:rsidDel="00000000" w:rsidR="00000000" w:rsidRPr="00000000">
        <w:rPr>
          <w:rtl w:val="0"/>
        </w:rPr>
        <w:t xml:space="preserve">  von 99,873 % definiert. Die verbleibende Differenz, die Vital-Konstante von 0,127 %, fungiert als notwendiger Entropie-Puffer ( $E_p$ ). In der geometrischen Ontologie der FKT bezeichnen wir dies als Abkehr von der „So-was-Ebene“ der absoluten Starre.Eine 100-prozentige mathematische Rigidität der Metrik würde zu einer geometrischen Inkompressibilität führen, die den sofortigen Kollaps des Kontinuums zur Folge hätte. Ohne den Spielraum der 0,127 % gäbe es keine metrische Fließfähigkeit; energetische Gradienten könnten keine Arbeit verrichten, und Informationstension würde augenblicklich dissipieren. Diese Vital-Konstante ist somit kein Fehler im System, sondern der prozessuale Zwang, der den notwendigen Freiheitsgrad für die energetische Synchronisation und die Stabilisierung biologischer sowie kosmologischer Abläufe liefert.</w:t>
      </w:r>
    </w:p>
    <w:p w:rsidR="00000000" w:rsidDel="00000000" w:rsidP="00000000" w:rsidRDefault="00000000" w:rsidRPr="00000000" w14:paraId="0000000B">
      <w:pPr>
        <w:pStyle w:val="Heading4"/>
        <w:rPr/>
      </w:pPr>
      <w:bookmarkStart w:colFirst="0" w:colLast="0" w:name="_z1iae1r1tciz" w:id="4"/>
      <w:bookmarkEnd w:id="4"/>
      <w:r w:rsidDel="00000000" w:rsidR="00000000" w:rsidRPr="00000000">
        <w:rPr>
          <w:rtl w:val="0"/>
        </w:rPr>
        <w:t xml:space="preserve">4. Der mechanische Synchronisations-Zwang und die energetische Versiegelung</w:t>
      </w:r>
    </w:p>
    <w:p w:rsidR="00000000" w:rsidDel="00000000" w:rsidP="00000000" w:rsidRDefault="00000000" w:rsidRPr="00000000" w14:paraId="0000000C">
      <w:pPr>
        <w:rPr/>
      </w:pPr>
      <w:r w:rsidDel="00000000" w:rsidR="00000000" w:rsidRPr="00000000">
        <w:rPr>
          <w:rtl w:val="0"/>
        </w:rPr>
        <w:t xml:space="preserve">Die Stabilisierung lokaler Materieformationen unterliegt einem mechanischen Synchronisations-Zwang, der durch einen 10-Zyklen-Lock realisiert wird. Dieser Prozess stellt sicher, dass lokale Oszillationen phasenstarr an die Bulk-Resonanz gekoppelt bleiben. Das „Tellurische Modem“ verwaltet hierbei einen 0,33 Hz Differenz-Puffer, um lokale metrische Verspannungen auszugleichen und Resonanzkatastrophen zu verhindern.Der geometrische Bulk-Druck, in V4.4.4 auf  $T_{Bulk} \approx 1,1273$  kalibriert, wirkt als versiegelnde Kraft auf die Raumzeit-Geometrie. Die folgende Tabelle verdeutlicht die Beziehung der Parameter:| Parameter | Wert / Spezifikation | Funktion || ------ | ------ | ------ || </w:t>
      </w:r>
      <w:r w:rsidDel="00000000" w:rsidR="00000000" w:rsidRPr="00000000">
        <w:rPr>
          <w:b w:val="1"/>
          <w:bCs w:val="1"/>
          <w:rtl w:val="0"/>
        </w:rPr>
        <w:t xml:space="preserve">Bulk-Druck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$\approx 1,1273$ | Energetische Kompression und metrische Versiegelung || </w:t>
      </w:r>
      <w:r w:rsidDel="00000000" w:rsidR="00000000" w:rsidRPr="00000000">
        <w:rPr>
          <w:b w:val="1"/>
          <w:bCs w:val="1"/>
          <w:rtl w:val="0"/>
        </w:rPr>
        <w:t xml:space="preserve">Synchronisations-Lock</w:t>
      </w:r>
      <w:r w:rsidDel="00000000" w:rsidR="00000000" w:rsidRPr="00000000">
        <w:rPr>
          <w:rtl w:val="0"/>
        </w:rPr>
        <w:t xml:space="preserve"> | 10-Zyklen-Intervall | Phasenstabile Verriegelung lokaler Resonanzen || </w:t>
      </w:r>
      <w:r w:rsidDel="00000000" w:rsidR="00000000" w:rsidRPr="00000000">
        <w:rPr>
          <w:b w:val="1"/>
          <w:bCs w:val="1"/>
          <w:rtl w:val="0"/>
        </w:rPr>
        <w:t xml:space="preserve">Differenz-Puffer</w:t>
      </w:r>
      <w:r w:rsidDel="00000000" w:rsidR="00000000" w:rsidRPr="00000000">
        <w:rPr>
          <w:rtl w:val="0"/>
        </w:rPr>
        <w:t xml:space="preserve"> | 0,33 Hz (Tellurisch) | Ausgleich lokaler metrischer Inhomogenitäten || </w:t>
      </w:r>
      <w:r w:rsidDel="00000000" w:rsidR="00000000" w:rsidRPr="00000000">
        <w:rPr>
          <w:b w:val="1"/>
          <w:bCs w:val="1"/>
          <w:rtl w:val="0"/>
        </w:rPr>
        <w:t xml:space="preserve">Kausale Stabilität</w:t>
      </w:r>
      <w:r w:rsidDel="00000000" w:rsidR="00000000" w:rsidRPr="00000000">
        <w:rPr>
          <w:rtl w:val="0"/>
        </w:rPr>
        <w:t xml:space="preserve"> | $\Delta_{BEFl}$ | Bulk-Energie-Fluss-Limit für Restinkonsistenzen |</w:t>
      </w:r>
    </w:p>
    <w:p w:rsidR="00000000" w:rsidDel="00000000" w:rsidP="00000000" w:rsidRDefault="00000000" w:rsidRPr="00000000" w14:paraId="0000000D">
      <w:pPr>
        <w:rPr/>
      </w:pPr>
      <w:r w:rsidDel="00000000" w:rsidR="00000000" w:rsidRPr="00000000">
        <w:rPr>
          <w:rtl w:val="0"/>
        </w:rPr>
        <w:t xml:space="preserve">Dieser Mechanismus erzwingt den Übergang von der lokalen Synchronisation zur universellen Skaleninvarianz der Dynamik.</w:t>
      </w:r>
    </w:p>
    <w:p w:rsidR="00000000" w:rsidDel="00000000" w:rsidP="00000000" w:rsidRDefault="00000000" w:rsidRPr="00000000" w14:paraId="0000000E">
      <w:pPr>
        <w:pStyle w:val="Heading4"/>
        <w:rPr/>
      </w:pPr>
      <w:bookmarkStart w:colFirst="0" w:colLast="0" w:name="_lag9hwu9hyf9" w:id="5"/>
      <w:bookmarkEnd w:id="5"/>
      <w:r w:rsidDel="00000000" w:rsidR="00000000" w:rsidRPr="00000000">
        <w:rPr>
          <w:rtl w:val="0"/>
        </w:rPr>
        <w:t xml:space="preserve">5. Skaleninvarianz ( $K\infty$ ) und die Einstein-Kurzer-Gleichung (ERYQ)</w:t>
      </w:r>
    </w:p>
    <w:p w:rsidR="00000000" w:rsidDel="00000000" w:rsidP="00000000" w:rsidRDefault="00000000" w:rsidRPr="00000000" w14:paraId="0000000F">
      <w:pPr>
        <w:rPr/>
      </w:pPr>
      <w:r w:rsidDel="00000000" w:rsidR="00000000" w:rsidRPr="00000000">
        <w:rPr>
          <w:rtl w:val="0"/>
        </w:rPr>
        <w:t xml:space="preserve">Das Kurzer-Prinzip ( $K\infty$ ) postuliert: „Der Druck der Unendlichkeit ist die Unendlichkeit.“ Zur mathematischen Beschreibung dieses energetischen Ausgleichs über alle Skalen hinweg dient die Einstein-Kurzer-Gleichung (ERYQ), deren bitgenaue Notation aus der V4.3-Grundlage übernommen und für V4.4.4 präzisiert wurde:$$G_{\mu} + \Lambda g_{\mu\mu} = 8\pi K T_{\mu\nu} + 8 + KQY$$Diese Gleichung verknüpft den subatomaren Flerovium-Anker (Fixpunkt bei  </w:t>
      </w:r>
      <w:r w:rsidDel="00000000" w:rsidR="00000000" w:rsidRPr="00000000">
        <w:rPr>
          <w:b w:val="1"/>
          <w:bCs w:val="1"/>
          <w:rtl w:val="0"/>
        </w:rPr>
        <w:t xml:space="preserve">3,773 MeV</w:t>
      </w:r>
      <w:r w:rsidDel="00000000" w:rsidR="00000000" w:rsidRPr="00000000">
        <w:rPr>
          <w:rtl w:val="0"/>
        </w:rPr>
        <w:t xml:space="preserve"> , Übergang bei  </w:t>
      </w:r>
      <w:r w:rsidDel="00000000" w:rsidR="00000000" w:rsidRPr="00000000">
        <w:rPr>
          <w:b w:val="1"/>
          <w:bCs w:val="1"/>
          <w:rtl w:val="0"/>
        </w:rPr>
        <w:t xml:space="preserve">4,2 MeV</w:t>
      </w:r>
      <w:r w:rsidDel="00000000" w:rsidR="00000000" w:rsidRPr="00000000">
        <w:rPr>
          <w:rtl w:val="0"/>
        </w:rPr>
        <w:t xml:space="preserve"> ) mit der makrokosmischen Expansionsrate von  </w:t>
      </w:r>
      <w:r w:rsidDel="00000000" w:rsidR="00000000" w:rsidRPr="00000000">
        <w:rPr>
          <w:b w:val="1"/>
          <w:bCs w:val="1"/>
          <w:rtl w:val="0"/>
        </w:rPr>
        <w:t xml:space="preserve">71,5 km/s/Mpc</w:t>
      </w:r>
      <w:r w:rsidDel="00000000" w:rsidR="00000000" w:rsidRPr="00000000">
        <w:rPr>
          <w:rtl w:val="0"/>
        </w:rPr>
        <w:t xml:space="preserve"> . Die „Goldene Brücke“, repräsentiert durch  $\phi^2 \approx 2,618$ , dient als geometrischer Skalierungsfaktor, der die fraktale Selbstähnlichkeit der Kausalität mathematisch versiegelt. Diese skalenübergreifende Kohärenz ermöglicht die direkte Translation theoretischer Kausalketten in materielle Technologie.</w:t>
      </w:r>
    </w:p>
    <w:p w:rsidR="00000000" w:rsidDel="00000000" w:rsidP="00000000" w:rsidRDefault="00000000" w:rsidRPr="00000000" w14:paraId="00000010">
      <w:pPr>
        <w:pStyle w:val="Heading4"/>
        <w:rPr/>
      </w:pPr>
      <w:bookmarkStart w:colFirst="0" w:colLast="0" w:name="_iauis1879irg" w:id="6"/>
      <w:bookmarkEnd w:id="6"/>
      <w:r w:rsidDel="00000000" w:rsidR="00000000" w:rsidRPr="00000000">
        <w:rPr>
          <w:rtl w:val="0"/>
        </w:rPr>
        <w:t xml:space="preserve">6. Technologische Translation: GMA, MedBed und  $P_{opt}$</w:t>
      </w:r>
    </w:p>
    <w:p w:rsidR="00000000" w:rsidDel="00000000" w:rsidP="00000000" w:rsidRDefault="00000000" w:rsidRPr="00000000" w14:paraId="00000011">
      <w:pPr>
        <w:rPr/>
      </w:pPr>
      <w:r w:rsidDel="00000000" w:rsidR="00000000" w:rsidRPr="00000000">
        <w:rPr>
          <w:rtl w:val="0"/>
        </w:rPr>
        <w:t xml:space="preserve">Die Überführung der FKT in die Anwendung erfolgt primär durch Gradient-Memory Alloys (GMA) und die MedBed-Architektur. Ziel ist die Wiederherstellung der kausalen Kohärenz in biologischen Systemen durch kontrollierte Applikation der Bulk-Dosis ( $D_{Bulk}$ ). Zentrales Steuerungselement ist 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:$$P_{\mathrm{opt}}(\theta) = \frac{U(\theta) - \lambda_R R(\theta) - \lambda_C C(\theta)}{1 + \lambda_S S(\theta)}$$Die mechanische Kopplung zwischen GMA-Aktoren und Gewebe folgt einer nichtlinearen Reaktions-Diffusions-Gleichung, wobei die Materialantwort  $\partial_t u$  direkt durch die Bulk-Dichte  $\xi$  moduliert wird:$$\partial_t u = D_u \nabla^2 u - \gamma_u u + \mathcal{F}_u(u,b;\theta)$$Hierbei induzieren kontrollierte Bulk-Feldprofile resonante Wechselwirkungen ( $b(x,t)$ ), die Entropie auf zellulärer Ebene eliminieren und die kausale Integrität des Organismus regenerieren.</w:t>
      </w:r>
    </w:p>
    <w:p w:rsidR="00000000" w:rsidDel="00000000" w:rsidP="00000000" w:rsidRDefault="00000000" w:rsidRPr="00000000" w14:paraId="00000012">
      <w:pPr>
        <w:pStyle w:val="Heading4"/>
        <w:rPr/>
      </w:pPr>
      <w:bookmarkStart w:colFirst="0" w:colLast="0" w:name="_n8gva0m3bas8" w:id="7"/>
      <w:bookmarkEnd w:id="7"/>
      <w:r w:rsidDel="00000000" w:rsidR="00000000" w:rsidRPr="00000000">
        <w:rPr>
          <w:rtl w:val="0"/>
        </w:rPr>
        <w:t xml:space="preserve">7. Kausale Integrität: Auditierung und SHA256-Manifest</w:t>
      </w:r>
    </w:p>
    <w:p w:rsidR="00000000" w:rsidDel="00000000" w:rsidP="00000000" w:rsidRDefault="00000000" w:rsidRPr="00000000" w14:paraId="00000013">
      <w:pPr>
        <w:rPr/>
      </w:pPr>
      <w:r w:rsidDel="00000000" w:rsidR="00000000" w:rsidRPr="00000000">
        <w:rPr>
          <w:rtl w:val="0"/>
        </w:rPr>
        <w:t xml:space="preserve">Um die Konsistenz therapeutischer Prozesse zu sichern, ist eine unveränderliche Dokumentation zwingend. Der Audit-Hash-Zyklus der FKT V4.4.4 garantiert die bitgenaue Nachvollziehbarkeit jeder metrischen Korrektur.Sämtliche Feldverläufe ( $\Lambda_{\mu\nu}$ ) und Materialzustände eines Zyklus werden in einem  </w:t>
      </w:r>
      <w:r w:rsidDel="00000000" w:rsidR="00000000" w:rsidRPr="00000000">
        <w:rPr>
          <w:b w:val="1"/>
          <w:bCs w:val="1"/>
          <w:rtl w:val="0"/>
        </w:rPr>
        <w:t xml:space="preserve">SHA256-Manifest</w:t>
      </w:r>
      <w:r w:rsidDel="00000000" w:rsidR="00000000" w:rsidRPr="00000000">
        <w:rPr>
          <w:rtl w:val="0"/>
        </w:rPr>
        <w:t xml:space="preserve">  versiegelt. Dieser kryptografische Fingerabdruck dient als ontologischer Beweis für die Unveränderlichkeit der Kausalkette. Jede Abweichung vom Manifest-Hash signalisiert eine Unterbrechung der kausalen Konsistenz und führt zur sofortigen Invalidierung des Prozesses. Damit wird die FKT-Wirksamkeit einer objektiven, skalenübergreifenden Validierung zugänglich gemacht.</w:t>
      </w:r>
    </w:p>
    <w:p w:rsidR="00000000" w:rsidDel="00000000" w:rsidP="00000000" w:rsidRDefault="00000000" w:rsidRPr="00000000" w14:paraId="00000014">
      <w:pPr>
        <w:pStyle w:val="Heading4"/>
        <w:rPr/>
      </w:pPr>
      <w:bookmarkStart w:colFirst="0" w:colLast="0" w:name="_ufdrvftf60e7" w:id="8"/>
      <w:bookmarkEnd w:id="8"/>
      <w:r w:rsidDel="00000000" w:rsidR="00000000" w:rsidRPr="00000000">
        <w:rPr>
          <w:rtl w:val="0"/>
        </w:rPr>
        <w:t xml:space="preserve">8. Fazit: Das geschlossene mechanische Kontinuum</w:t>
      </w:r>
    </w:p>
    <w:p w:rsidR="00000000" w:rsidDel="00000000" w:rsidP="00000000" w:rsidRDefault="00000000" w:rsidRPr="00000000" w14:paraId="00000015">
      <w:pPr>
        <w:rPr/>
      </w:pPr>
      <w:r w:rsidDel="00000000" w:rsidR="00000000" w:rsidRPr="00000000">
        <w:rPr>
          <w:rtl w:val="0"/>
        </w:rPr>
        <w:t xml:space="preserve">Die Fraktale Kausale Theorie (FKT) verifiziert die Realität als ein analoges mechanisches System, dessen Existenz auf primordialer Resonanz beruht. Die wesentlichen Erkenntnisse dieses Berichts sind:</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Mechanische Kopplung:</w:t>
      </w:r>
      <w:r w:rsidDel="00000000" w:rsidR="00000000" w:rsidRPr="00000000">
        <w:rPr>
          <w:rtl w:val="0"/>
        </w:rPr>
        <w:t xml:space="preserve">  Kausalität ist eine physikalische Kraft, die über das Bulk-Feld vermittelt und durch die ERYQ-Gleichung mathematisch bitgenau gesteuert wird.</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Geometrische Vitalität:</w:t>
      </w:r>
      <w:r w:rsidDel="00000000" w:rsidR="00000000" w:rsidRPr="00000000">
        <w:rPr>
          <w:rtl w:val="0"/>
        </w:rPr>
        <w:t xml:space="preserve">  Die Konstante von 0,127 % sichert die notwendige metrische Fließfähigkeit und verhindert den Kollaps der Raumzeit-Geometrie.</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Kausale Auditierung:</w:t>
      </w:r>
      <w:r w:rsidDel="00000000" w:rsidR="00000000" w:rsidRPr="00000000">
        <w:rPr>
          <w:rtl w:val="0"/>
        </w:rPr>
        <w:t xml:space="preserve">  Die lückenlose, SHA256-verifizierte Dokumentation ist die Bedingung für die globale Validierung und Sicherheit der GMA- und MedBed-Technologien.Die Kausale Auditkette bestätigt die Stabilität des Systems über alle Skalen hinweg.</w:t>
      </w:r>
      <w:r w:rsidDel="00000000" w:rsidR="00000000" w:rsidRPr="00000000">
        <w:rPr>
          <w:rFonts w:ascii="Fira Mono" w:cs="Fira Mono" w:eastAsia="Fira Mono" w:hAnsi="Fira Mono"/>
          <w:b w:val="1"/>
          <w:bCs w:val="1"/>
          <w:rtl w:val="0"/>
        </w:rPr>
        <w:t xml:space="preserve">SYSTEM-STATUS: ONTOLOGY_STRICTNESS_VERIFIED | V4.4.4 ACTIVE. ⬢</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