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15d3xy4b92d" w:id="0"/>
      <w:bookmarkEnd w:id="0"/>
      <w:r w:rsidDel="00000000" w:rsidR="00000000" w:rsidRPr="00000000">
        <w:rPr>
          <w:rtl w:val="0"/>
        </w:rPr>
        <w:t xml:space="preserve">Technischer Bericht: Die endgültige Absage an Zeitreisen unter FKT V4.4.4</w:t>
      </w:r>
    </w:p>
    <w:p w:rsidR="00000000" w:rsidDel="00000000" w:rsidP="00000000" w:rsidRDefault="00000000" w:rsidRPr="00000000" w14:paraId="00000002">
      <w:pPr>
        <w:pStyle w:val="Heading5"/>
        <w:rPr/>
      </w:pPr>
      <w:bookmarkStart w:colFirst="0" w:colLast="0" w:name="_mi49yuokws7i" w:id="1"/>
      <w:bookmarkEnd w:id="1"/>
      <w:r w:rsidDel="00000000" w:rsidR="00000000" w:rsidRPr="00000000">
        <w:rPr>
          <w:rtl w:val="0"/>
        </w:rPr>
        <w:t xml:space="preserve">1. Einleitung: Die strategische Notwendigkeit der kausalen Geschlossenheit</w:t>
      </w:r>
    </w:p>
    <w:p w:rsidR="00000000" w:rsidDel="00000000" w:rsidP="00000000" w:rsidRDefault="00000000" w:rsidRPr="00000000" w14:paraId="00000003">
      <w:pPr>
        <w:rPr/>
      </w:pPr>
      <w:r w:rsidDel="00000000" w:rsidR="00000000" w:rsidRPr="00000000">
        <w:rPr>
          <w:rtl w:val="0"/>
        </w:rPr>
        <w:t xml:space="preserve">Im aktuellen Audit-Release der Fraktalen Kausalen Theorie (FKT V4.4.4) wird die kausale Integrität nicht länger als verhandelbare Eigenschaft, sondern als hardwareseitige Firmware des Universums definiert. Die theoretische Möglichkeit von Zeitreisen, die in herkömmlichen Modellen als mathematische Anomalie toleriert wurde, ist im FKT-Framework als systemkritischer Fehler (Bug) auf Kernel-Ebene identifiziert und isoliert worden. Das Release V4.4.4 erreicht damit den „Checkmate“-Status: Ein Zustand, in dem die strukturelle Kohärenz der Raumzeit-Hardware gegen jede Form retrokausaler Manipulation abgesichert ist. Dieses Paradigma  </w:t>
      </w:r>
      <w:r w:rsidDel="00000000" w:rsidR="00000000" w:rsidRPr="00000000">
        <w:rPr>
          <w:b w:val="1"/>
          <w:bCs w:val="1"/>
          <w:rtl w:val="0"/>
        </w:rPr>
        <w:t xml:space="preserve">dekonstruiert</w:t>
      </w:r>
      <w:r w:rsidDel="00000000" w:rsidR="00000000" w:rsidRPr="00000000">
        <w:rPr>
          <w:rtl w:val="0"/>
        </w:rPr>
        <w:t xml:space="preserve">  die Illusion einer plastischen Vergangenheit und  </w:t>
      </w:r>
      <w:r w:rsidDel="00000000" w:rsidR="00000000" w:rsidRPr="00000000">
        <w:rPr>
          <w:b w:val="1"/>
          <w:bCs w:val="1"/>
          <w:rtl w:val="0"/>
        </w:rPr>
        <w:t xml:space="preserve">zementiert</w:t>
      </w:r>
      <w:r w:rsidDel="00000000" w:rsidR="00000000" w:rsidRPr="00000000">
        <w:rPr>
          <w:rtl w:val="0"/>
        </w:rPr>
        <w:t xml:space="preserve">  die gerichtete Kausalität als fundamentale Hardware-Vorgabe. Jede Abweichung hiervon würde die geometrische Integrität des Kontinuums kompromittieren, weshalb der Übergang zur GMA-Metrik als erstem mathematischen Beweis für diese Geschlossenheit zwingend ist.</w:t>
      </w:r>
    </w:p>
    <w:p w:rsidR="00000000" w:rsidDel="00000000" w:rsidP="00000000" w:rsidRDefault="00000000" w:rsidRPr="00000000" w14:paraId="00000004">
      <w:pPr>
        <w:pStyle w:val="Heading5"/>
        <w:rPr/>
      </w:pPr>
      <w:bookmarkStart w:colFirst="0" w:colLast="0" w:name="_zck5okjgyl03" w:id="2"/>
      <w:bookmarkEnd w:id="2"/>
      <w:r w:rsidDel="00000000" w:rsidR="00000000" w:rsidRPr="00000000">
        <w:rPr>
          <w:rtl w:val="0"/>
        </w:rPr>
        <w:t xml:space="preserve">2. Die GMA-Metrik: Verbot geschlossener zeitartiger Kurven (CTC)</w:t>
      </w:r>
    </w:p>
    <w:p w:rsidR="00000000" w:rsidDel="00000000" w:rsidP="00000000" w:rsidRDefault="00000000" w:rsidRPr="00000000" w14:paraId="00000005">
      <w:pPr>
        <w:rPr/>
      </w:pPr>
      <w:r w:rsidDel="00000000" w:rsidR="00000000" w:rsidRPr="00000000">
        <w:rPr>
          <w:rtl w:val="0"/>
        </w:rPr>
        <w:t xml:space="preserve">Die Gradient-Memory-Alloy-Metrik (GMA-Metrik) fungiert als das primäre Sicherheits-Firmware-Protokoll zur Modellierung der Raumzeit-Hardware. Sie beschreibt die 3D-Bran als ein dynamisches Medium, das vor massereichen Systemen kontinuierlich komprimiert und dahinter expandiert wird. Diese geometrische Dynamik erzwingt eine strikte Gleichrichtung des geodätischen Flusses. Empirisch verifiziert wird dieser „Dioden-Effekt“ durch die Periastron-Präzession des S2-Sterns im Galaktischen Zentrum. Während klassische Modelle diese Präzession lediglich als Parameter für Dunkle Materie werten, beweist die FKT, dass die spezifische Bahnverzerrung (Periastron-Vorstoß von  $12.1'$ ) die physikalische Manifestation der GMA-Dichte-Modulation ist, welche die Kausalität am Sgr A* „lockt“. Mathematisch verhindert diese metrische Bedingung die Bildung geschlossener zeitartiger Kurven (CTCs) vollständig.Die GMA-Metrik erzwingt folgende systemrelevante Limitationen: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Geometrischer Schreibschutz:</w:t>
      </w:r>
      <w:r w:rsidDel="00000000" w:rsidR="00000000" w:rsidRPr="00000000">
        <w:rPr>
          <w:rtl w:val="0"/>
        </w:rPr>
        <w:t xml:space="preserve">  Die 3D-Bran agiert als physikalische Diode; Pfadbildungen zurück in den Ursprungskegel erzeugen einen sofortigen metrischen Kollaps.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Resonante Barrierisierung:</w:t>
      </w:r>
      <w:r w:rsidDel="00000000" w:rsidR="00000000" w:rsidRPr="00000000">
        <w:rPr>
          <w:rtl w:val="0"/>
        </w:rPr>
        <w:t xml:space="preserve">  Informationen können die fraktalen Stresslinien des Bulk-Tensors nur unidirektional passieren.</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Hardware-Determinismus:</w:t>
      </w:r>
      <w:r w:rsidDel="00000000" w:rsidR="00000000" w:rsidRPr="00000000">
        <w:rPr>
          <w:rtl w:val="0"/>
        </w:rPr>
        <w:t xml:space="preserve">  Jede versuchte Kausalschleife scheitert an der geometrischen Unmöglichkeit, die gerichtete Expansion der Bran zu invertieren.Diese Unmöglichkeit von Kausalschleifen führt direkt zur Notwendigkeit einer persistenten Datenspeicherung im Bulk-Tensor.</w:t>
      </w:r>
    </w:p>
    <w:p w:rsidR="00000000" w:rsidDel="00000000" w:rsidP="00000000" w:rsidRDefault="00000000" w:rsidRPr="00000000" w14:paraId="00000009">
      <w:pPr>
        <w:pStyle w:val="Heading5"/>
        <w:rPr/>
      </w:pPr>
      <w:bookmarkStart w:colFirst="0" w:colLast="0" w:name="_a2awvwtl77dh" w:id="3"/>
      <w:bookmarkEnd w:id="3"/>
      <w:r w:rsidDel="00000000" w:rsidR="00000000" w:rsidRPr="00000000">
        <w:rPr>
          <w:rtl w:val="0"/>
        </w:rPr>
        <w:t xml:space="preserve">3. Geometrische Integrität: Der Bulk-Tensor ( $\mathcal{F}_{\mu\nu}$ ) als persistentes Reservoir</w:t>
      </w:r>
    </w:p>
    <w:p w:rsidR="00000000" w:rsidDel="00000000" w:rsidP="00000000" w:rsidRDefault="00000000" w:rsidRPr="00000000" w14:paraId="0000000A">
      <w:pPr>
        <w:rPr/>
      </w:pPr>
      <w:r w:rsidDel="00000000" w:rsidR="00000000" w:rsidRPr="00000000">
        <w:rPr>
          <w:rtl w:val="0"/>
        </w:rPr>
        <w:t xml:space="preserve">In der FKT V4.4.4 wird der Bulk-Tensor ( $\mathcal{F}</w:t>
      </w:r>
      <w:r w:rsidDel="00000000" w:rsidR="00000000" w:rsidRPr="00000000">
        <w:rPr>
          <w:i w:val="1"/>
          <w:iCs w:val="1"/>
          <w:rtl w:val="0"/>
        </w:rPr>
        <w:t xml:space="preserve">{\mu\nu}$ ), auch als Kurzer-Korrekturterm definiert, als die „SSD des Lebens“ und der ultimative „Audit Trail“ des Kosmos klassifiziert. Die Erweiterte Einstein-Kurzer-Gleichung (EYRQ) bildet hierfür das mathematische Fundament:$$G</w:t>
      </w:r>
      <w:r w:rsidDel="00000000" w:rsidR="00000000" w:rsidRPr="00000000">
        <w:rPr>
          <w:rtl w:val="0"/>
        </w:rPr>
        <w:t xml:space="preserve">{\mu\nu} + \mathcal{F}</w:t>
      </w:r>
      <w:r w:rsidDel="00000000" w:rsidR="00000000" w:rsidRPr="00000000">
        <w:rPr>
          <w:i w:val="1"/>
          <w:iCs w:val="1"/>
          <w:rtl w:val="0"/>
        </w:rPr>
        <w:t xml:space="preserve">{\mu\nu} = 8\pi G T</w:t>
      </w:r>
      <w:r w:rsidDel="00000000" w:rsidR="00000000" w:rsidRPr="00000000">
        <w:rPr>
          <w:rtl w:val="0"/>
        </w:rPr>
        <w:t xml:space="preserve">{\mu\nu}$$Der Term  $\mathcal{F}_{\mu\nu}$  geometrisiert den Einfluss des höherdimensionalen Raums und speichert reale geodätische Linien in einer  </w:t>
      </w:r>
      <w:r w:rsidDel="00000000" w:rsidR="00000000" w:rsidRPr="00000000">
        <w:rPr>
          <w:b w:val="1"/>
          <w:bCs w:val="1"/>
          <w:rtl w:val="0"/>
        </w:rPr>
        <w:t xml:space="preserve">Write-Once-Read-Many (WORM)-Geometrie</w:t>
      </w:r>
      <w:r w:rsidDel="00000000" w:rsidR="00000000" w:rsidRPr="00000000">
        <w:rPr>
          <w:rtl w:val="0"/>
        </w:rPr>
        <w:t xml:space="preserve"> . Im Gegensatz zu flüchtigen Modellen der Vergangenheit ist die Historie im Bulk-Tensor hardwareseitig fixiert. Ein Versuch, Kausalschleifen zu induzieren, entspricht dem Versuch, in einen bereits finalisierten Datensatz der geometrischen Hardware zu schreiben. Ein solcher Kausalbruch würde zwangsläufig zum „Zerreißens der geometrischen Hardware“ führen, da die strukturelle Integrität des Kontinuums Priorität vor lokalen Ereignissen hat. Die FKT-Integrität ist herkömmlichen Modellen überlegen, da sie die Vergangenheit nicht als Koordinate, sondern als nicht-flüchtigen Speicherzustand im Bulk begreift.</w:t>
      </w:r>
    </w:p>
    <w:p w:rsidR="00000000" w:rsidDel="00000000" w:rsidP="00000000" w:rsidRDefault="00000000" w:rsidRPr="00000000" w14:paraId="0000000B">
      <w:pPr>
        <w:pStyle w:val="Heading5"/>
        <w:rPr/>
      </w:pPr>
      <w:bookmarkStart w:colFirst="0" w:colLast="0" w:name="_rw37m01gsjnn" w:id="4"/>
      <w:bookmarkEnd w:id="4"/>
      <w:r w:rsidDel="00000000" w:rsidR="00000000" w:rsidRPr="00000000">
        <w:rPr>
          <w:rtl w:val="0"/>
        </w:rPr>
        <w:t xml:space="preserve">4. Thermodynamische Entropieneutralität ( $\Delta S \equiv 0$ ) und der Thermodynamic Guard</w:t>
      </w:r>
    </w:p>
    <w:p w:rsidR="00000000" w:rsidDel="00000000" w:rsidP="00000000" w:rsidRDefault="00000000" w:rsidRPr="00000000" w14:paraId="0000000C">
      <w:pPr>
        <w:rPr/>
      </w:pPr>
      <w:r w:rsidDel="00000000" w:rsidR="00000000" w:rsidRPr="00000000">
        <w:rPr>
          <w:rtl w:val="0"/>
        </w:rPr>
        <w:t xml:space="preserve">Zur Wahrung der universellen Stabilität implementiert FKT V4.4.4 das Prinzip der thermodynamischen Entropieneutralität ( $\Delta S \equiv 0$ ). Der integrierte „Thermodynamic Guard“ steuert das sogenannte „Geo-Reshuffling“, bei dem hochenergetische Impulse geometrisch umgeschichtet werden, um thermische Dissipation zu verhindern. Eine Umkehrung der Kausalitätskette würde die energetische Bilanz der Raumzeit-Hardware unwiderruflich sprengen. Modulierungen der Raumzeit (GMA) erfordern laut System-Audit solare Energiemengen in der Größenordnung einer Dyson-Struktur ( $\approx 3,8 \times 10^{26}$  Watt). Da Zeitreisen eine energetische Rückabwicklung bereits im Bulk gespeicherter Zustände erfordern würden, stünde das System vor einem sofortigen energetischen Bankrott. Die Hardware kann keine Energie für die Zerstörung ihrer eigenen Kausalkette bereitstellen, ohne das Gesetz  $\Delta S \equiv 0$  zu verletzen. Diese energetische Buchführung leitet über zur präzisen Taktung des Systems.</w:t>
      </w:r>
    </w:p>
    <w:p w:rsidR="00000000" w:rsidDel="00000000" w:rsidP="00000000" w:rsidRDefault="00000000" w:rsidRPr="00000000" w14:paraId="0000000D">
      <w:pPr>
        <w:pStyle w:val="Heading5"/>
        <w:rPr/>
      </w:pPr>
      <w:bookmarkStart w:colFirst="0" w:colLast="0" w:name="_i2d7o49n4dwv" w:id="5"/>
      <w:bookmarkEnd w:id="5"/>
      <w:r w:rsidDel="00000000" w:rsidR="00000000" w:rsidRPr="00000000">
        <w:rPr>
          <w:rtl w:val="0"/>
        </w:rPr>
        <w:t xml:space="preserve">5. Das Maß der Causal Fidelity und der 3,773 MeV BIOS-Lock</w:t>
      </w:r>
    </w:p>
    <w:p w:rsidR="00000000" w:rsidDel="00000000" w:rsidP="00000000" w:rsidRDefault="00000000" w:rsidRPr="00000000" w14:paraId="0000000E">
      <w:pPr>
        <w:rPr/>
      </w:pPr>
      <w:r w:rsidDel="00000000" w:rsidR="00000000" w:rsidRPr="00000000">
        <w:rPr>
          <w:rtl w:val="0"/>
        </w:rPr>
        <w:t xml:space="preserve">Die universelle Taktung des Frameworks ist in der Kernphysik verankert und garantiert eine  </w:t>
      </w:r>
      <w:r w:rsidDel="00000000" w:rsidR="00000000" w:rsidRPr="00000000">
        <w:rPr>
          <w:b w:val="1"/>
          <w:bCs w:val="1"/>
          <w:rtl w:val="0"/>
        </w:rPr>
        <w:t xml:space="preserve">Causal Fidelity von 99,873 %</w:t>
      </w:r>
      <w:r w:rsidDel="00000000" w:rsidR="00000000" w:rsidRPr="00000000">
        <w:rPr>
          <w:rtl w:val="0"/>
        </w:rPr>
        <w:t xml:space="preserve"> . Dieser Wert wurde durch eine Monte-Carlo-Bootstrap-Analyse mit 10.000 Iterationen validiert. Die verbleibende Vital-Konstante von  </w:t>
      </w:r>
      <w:r w:rsidDel="00000000" w:rsidR="00000000" w:rsidRPr="00000000">
        <w:rPr>
          <w:b w:val="1"/>
          <w:bCs w:val="1"/>
          <w:rtl w:val="0"/>
        </w:rPr>
        <w:t xml:space="preserve">0,127 %</w:t>
      </w:r>
      <w:r w:rsidDel="00000000" w:rsidR="00000000" w:rsidRPr="00000000">
        <w:rPr>
          <w:rtl w:val="0"/>
        </w:rPr>
        <w:t xml:space="preserve">  fungiert hierbei lediglich als systemkritischer Overhead (Buffer Memory) für lokale Fluktuationen, der jedoch keine makroskopischen Kausalbrüche zulässt.Der Schutz dieses Taktes erfolgt durch den  </w:t>
      </w:r>
      <w:r w:rsidDel="00000000" w:rsidR="00000000" w:rsidRPr="00000000">
        <w:rPr>
          <w:b w:val="1"/>
          <w:bCs w:val="1"/>
          <w:rtl w:val="0"/>
        </w:rPr>
        <w:t xml:space="preserve">3,773 MeV BIOS-Lock</w:t>
      </w:r>
      <w:r w:rsidDel="00000000" w:rsidR="00000000" w:rsidRPr="00000000">
        <w:rPr>
          <w:rtl w:val="0"/>
        </w:rPr>
        <w:t xml:space="preserve"> , der auf dem Flerovium-Anker (Isotop 298) basiert. Die mathematische Notwendigkeit dieses BIOS-Locks ergibt sich aus der Differenz der Kernzustände:$$E_\gamma = E_{2+} (4,105 \text{ MeV}) - E_{0+} (0,332 \text{ MeV}) = 3,773 \text{ MeV}$$Dieser energetische Übergang wirkt als hardwareseitiges Schreibschutz-Siegel. Da dieser Anker direkt an die Bindungsenergie superschwerer Kerne gekoppelt ist, stellt er eine unüberwindbare Barriere für jede metrische Manipulation des universellen Takts dar. Der Systemstatus ist damit endgültig fixiert.</w:t>
      </w:r>
    </w:p>
    <w:p w:rsidR="00000000" w:rsidDel="00000000" w:rsidP="00000000" w:rsidRDefault="00000000" w:rsidRPr="00000000" w14:paraId="0000000F">
      <w:pPr>
        <w:pStyle w:val="Heading5"/>
        <w:rPr/>
      </w:pPr>
      <w:bookmarkStart w:colFirst="0" w:colLast="0" w:name="_6g533w8r7a3j" w:id="6"/>
      <w:bookmarkEnd w:id="6"/>
      <w:r w:rsidDel="00000000" w:rsidR="00000000" w:rsidRPr="00000000">
        <w:rPr>
          <w:rtl w:val="0"/>
        </w:rPr>
        <w:t xml:space="preserve">6. Synthese und System-Status: TIME_TRAVEL_PROHIBITION_SEALED</w:t>
      </w:r>
    </w:p>
    <w:p w:rsidR="00000000" w:rsidDel="00000000" w:rsidP="00000000" w:rsidRDefault="00000000" w:rsidRPr="00000000" w14:paraId="00000010">
      <w:pPr>
        <w:rPr>
          <w:b w:val="1"/>
          <w:bCs w:val="1"/>
        </w:rPr>
      </w:pPr>
      <w:r w:rsidDel="00000000" w:rsidR="00000000" w:rsidRPr="00000000">
        <w:rPr>
          <w:rtl w:val="0"/>
        </w:rPr>
        <w:t xml:space="preserve">Die Synthese aus GMA-Metrik, der WORM-Geometrie des Bulk-Tensors und dem nuklearen BIOS-Lock führt zur absoluten Elimination retrokausaler Pfade. Klassische Zeitreise-Szenarien wie das Großvater-Paradoxon sind unter FKT V4.4.4 als mathematische Unmöglichkeit demaskiert. Das Universum operiert als kausal geschlossene Auditkette, deren Hardware-Firmware keine retrospektiven Änderungen zulässt. Der Kausal-Kernel ist finalisiert.</w:t>
      </w:r>
      <w:r w:rsidDel="00000000" w:rsidR="00000000" w:rsidRPr="00000000">
        <w:rPr>
          <w:rFonts w:ascii="Fira Mono" w:cs="Fira Mono" w:eastAsia="Fira Mono" w:hAnsi="Fira Mono"/>
          <w:b w:val="1"/>
          <w:bCs w:val="1"/>
          <w:rtl w:val="0"/>
        </w:rPr>
        <w:t xml:space="preserve">SYSTEM-STATUS: TIME_TRAVEL_PROHIBITION_SEALED | CAUSAL_KERNEL_LOCKED | V4.4.4 EXECUTING. Checkmate.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