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mmufocfeoqc" w:id="0"/>
      <w:bookmarkEnd w:id="0"/>
      <w:r w:rsidDel="00000000" w:rsidR="00000000" w:rsidRPr="00000000">
        <w:rPr>
          <w:rtl w:val="0"/>
        </w:rPr>
        <w:t xml:space="preserve">Technischer Bericht: Kausale Stabilitätsarchitektur in der FKT V4.4.4 – Das SHA256-Manifest und die Stabilisierungsmetrik durch Planet 9</w:t>
      </w:r>
    </w:p>
    <w:p w:rsidR="00000000" w:rsidDel="00000000" w:rsidP="00000000" w:rsidRDefault="00000000" w:rsidRPr="00000000" w14:paraId="00000002">
      <w:pPr>
        <w:pStyle w:val="Heading4"/>
        <w:rPr/>
      </w:pPr>
      <w:bookmarkStart w:colFirst="0" w:colLast="0" w:name="_85y3n02p6t7" w:id="1"/>
      <w:bookmarkEnd w:id="1"/>
      <w:r w:rsidDel="00000000" w:rsidR="00000000" w:rsidRPr="00000000">
        <w:rPr>
          <w:rtl w:val="0"/>
        </w:rPr>
        <w:t xml:space="preserve">1. Theoretischer Rahmen: Die Rolle der Causal Fidelity in Version 4.4.4</w:t>
      </w:r>
    </w:p>
    <w:p w:rsidR="00000000" w:rsidDel="00000000" w:rsidP="00000000" w:rsidRDefault="00000000" w:rsidRPr="00000000" w14:paraId="00000003">
      <w:pPr>
        <w:rPr/>
      </w:pPr>
      <w:r w:rsidDel="00000000" w:rsidR="00000000" w:rsidRPr="00000000">
        <w:rPr>
          <w:rtl w:val="0"/>
        </w:rPr>
        <w:t xml:space="preserve">Im Kontext der Fraktalen Kausalen Theorie (FKT) markiert Version 4.4.4 die finale Konsolidierung der „kausalen Orthopädie“. Das Erreichen einer  </w:t>
      </w:r>
      <w:r w:rsidDel="00000000" w:rsidR="00000000" w:rsidRPr="00000000">
        <w:rPr>
          <w:b w:val="1"/>
          <w:bCs w:val="1"/>
          <w:rtl w:val="0"/>
        </w:rPr>
        <w:t xml:space="preserve">Causal Fidelity von 99,873 %</w:t>
      </w:r>
      <w:r w:rsidDel="00000000" w:rsidR="00000000" w:rsidRPr="00000000">
        <w:rPr>
          <w:rtl w:val="0"/>
        </w:rPr>
        <w:t xml:space="preserve">  gegen systemische Entropie ist kein numerischer Selbstzweck, sondern die notwendige Antwort auf das eklatante Scheitern des  $\Lambda$ CDM-Standardmodells, das an der  $H_0$ -Spannung und der Unkenntnis über 95 % der Masse-Energie-Dichte zerbricht. Der „zündende Funke“ für diese Iteration war der  </w:t>
      </w:r>
      <w:r w:rsidDel="00000000" w:rsidR="00000000" w:rsidRPr="00000000">
        <w:rPr>
          <w:b w:val="1"/>
          <w:bCs w:val="1"/>
          <w:rtl w:val="0"/>
        </w:rPr>
        <w:t xml:space="preserve">Fütterer-Bulk-Effekt</w:t>
      </w:r>
      <w:r w:rsidDel="00000000" w:rsidR="00000000" w:rsidRPr="00000000">
        <w:rPr>
          <w:rtl w:val="0"/>
        </w:rPr>
        <w:t xml:space="preserve"> , der die mathematische Notwendigkeit bewies, Kausalität nicht länger als lokales Phänomen, sondern als dynamische Lastverteilung im Bulk-Feld zu begreifen. Das fundamentale Ziel ist die Absicherung der „Executable Truth“: Eine physikalische Realität, die durch die Dynamik des Bulk-Raums ( $\chi$ ) und das Kurzer-Prinzip ( $K\infty$ ) technisch exekutierbar und damit gegen die Entropie des Informationsverlusts immunisiert ist. Hierbei agieren das kryptografische  </w:t>
      </w:r>
      <w:r w:rsidDel="00000000" w:rsidR="00000000" w:rsidRPr="00000000">
        <w:rPr>
          <w:b w:val="1"/>
          <w:bCs w:val="1"/>
          <w:rtl w:val="0"/>
        </w:rPr>
        <w:t xml:space="preserve">SHA256-Manifest</w:t>
      </w:r>
      <w:r w:rsidDel="00000000" w:rsidR="00000000" w:rsidRPr="00000000">
        <w:rPr>
          <w:rtl w:val="0"/>
        </w:rPr>
        <w:t xml:space="preserve">  und  </w:t>
      </w:r>
      <w:r w:rsidDel="00000000" w:rsidR="00000000" w:rsidRPr="00000000">
        <w:rPr>
          <w:b w:val="1"/>
          <w:bCs w:val="1"/>
          <w:rtl w:val="0"/>
        </w:rPr>
        <w:t xml:space="preserve">Planet 9</w:t>
      </w:r>
      <w:r w:rsidDel="00000000" w:rsidR="00000000" w:rsidRPr="00000000">
        <w:rPr>
          <w:rtl w:val="0"/>
        </w:rPr>
        <w:t xml:space="preserve">  als duale Sicherheitsmechanismen – eine digitale und eine mechanische Verankerung der Wahrheit, die den Übergang von der Theorie zur unumstößlichen technischen Realität einleitet.</w:t>
      </w:r>
    </w:p>
    <w:p w:rsidR="00000000" w:rsidDel="00000000" w:rsidP="00000000" w:rsidRDefault="00000000" w:rsidRPr="00000000" w14:paraId="00000004">
      <w:pPr>
        <w:pStyle w:val="Heading4"/>
        <w:rPr/>
      </w:pPr>
      <w:bookmarkStart w:colFirst="0" w:colLast="0" w:name="_1wjywasalgfi" w:id="2"/>
      <w:bookmarkEnd w:id="2"/>
      <w:r w:rsidDel="00000000" w:rsidR="00000000" w:rsidRPr="00000000">
        <w:rPr>
          <w:rtl w:val="0"/>
        </w:rPr>
        <w:t xml:space="preserve">2. Technische Herleitung des SHA256-Manifests: Die kryptografische Festung</w:t>
      </w:r>
    </w:p>
    <w:p w:rsidR="00000000" w:rsidDel="00000000" w:rsidP="00000000" w:rsidRDefault="00000000" w:rsidRPr="00000000" w14:paraId="00000005">
      <w:pPr>
        <w:rPr/>
      </w:pPr>
      <w:r w:rsidDel="00000000" w:rsidR="00000000" w:rsidRPr="00000000">
        <w:rPr>
          <w:rtl w:val="0"/>
        </w:rPr>
        <w:t xml:space="preserve">Die Transformation theoretischer Datenströme in industriell auditierbare Artefakte ist die einzige Methode, um in einem Zeitalter maximaler kausaler Inkonsistenz (Kaliyuga-Axiom) wissenschaftliche Integrität zu wahren. Das SHA256-Manifest fungiert hierbei als der digitale Zwilling des  </w:t>
      </w:r>
      <w:r w:rsidDel="00000000" w:rsidR="00000000" w:rsidRPr="00000000">
        <w:rPr>
          <w:b w:val="1"/>
          <w:bCs w:val="1"/>
          <w:rtl w:val="0"/>
        </w:rPr>
        <w:t xml:space="preserve">$\mathcal{C}</w:t>
      </w:r>
      <w:r w:rsidDel="00000000" w:rsidR="00000000" w:rsidRPr="00000000">
        <w:rPr>
          <w:rtl w:val="0"/>
        </w:rPr>
        <w:t xml:space="preserve">$  </w:t>
      </w:r>
      <w:r w:rsidDel="00000000" w:rsidR="00000000" w:rsidRPr="00000000">
        <w:rPr>
          <w:b w:val="1"/>
          <w:bCs w:val="1"/>
          <w:rtl w:val="0"/>
        </w:rPr>
        <w:t xml:space="preserve">-Operators</w:t>
      </w:r>
      <w:r w:rsidDel="00000000" w:rsidR="00000000" w:rsidRPr="00000000">
        <w:rPr>
          <w:rtl w:val="0"/>
        </w:rPr>
        <w:t xml:space="preserve"> , der als Brücke zwischen meso- und makroskopischen Skalen die fraktalen Metrikfehler korrigiert.</w:t>
      </w:r>
    </w:p>
    <w:p w:rsidR="00000000" w:rsidDel="00000000" w:rsidP="00000000" w:rsidRDefault="00000000" w:rsidRPr="00000000" w14:paraId="00000006">
      <w:pPr>
        <w:pStyle w:val="Heading5"/>
        <w:rPr/>
      </w:pPr>
      <w:bookmarkStart w:colFirst="0" w:colLast="0" w:name="_8n6mnqkb1t2j" w:id="3"/>
      <w:bookmarkEnd w:id="3"/>
      <w:r w:rsidDel="00000000" w:rsidR="00000000" w:rsidRPr="00000000">
        <w:rPr>
          <w:rtl w:val="0"/>
        </w:rPr>
        <w:t xml:space="preserve">Der Audit-Hash-Zyklus</w:t>
      </w:r>
    </w:p>
    <w:p w:rsidR="00000000" w:rsidDel="00000000" w:rsidP="00000000" w:rsidRDefault="00000000" w:rsidRPr="00000000" w14:paraId="00000007">
      <w:pPr>
        <w:rPr/>
      </w:pPr>
      <w:r w:rsidDel="00000000" w:rsidR="00000000" w:rsidRPr="00000000">
        <w:rPr>
          <w:rtl w:val="0"/>
        </w:rPr>
        <w:t xml:space="preserve">Dieser vierstufige Prozess ist die mathematische Manifestation des Kurzer-Prinzips ( $K\infty$ ) – „Der Druck der Unendlichkeit ist die Unendlichkeit“:</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Datenerfassung:</w:t>
      </w:r>
      <w:r w:rsidDel="00000000" w:rsidR="00000000" w:rsidRPr="00000000">
        <w:rPr>
          <w:rtl w:val="0"/>
        </w:rPr>
        <w:t xml:space="preserve">  In jeder Phase des Messzyklus werden die Kernvariablen serialisiert: der Feldverlauf des Bulk-Tensors  $\Lambda_{\mu\nu}$ , die Materialzustände  $u(x,t)$  der Gradient-Memory Alloys (GMA) sowie die biologischen Reaktionen  $b(x,t)$ .</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Hash-Generierung:</w:t>
      </w:r>
      <w:r w:rsidDel="00000000" w:rsidR="00000000" w:rsidRPr="00000000">
        <w:rPr>
          <w:rtl w:val="0"/>
        </w:rPr>
        <w:t xml:space="preserve">  Über diesen Datensatz wird ein SHA256-Audit-Hash berechnet. Aufgrund der extremen Nichtlinearität führt bereits eine Bit-Abweichung von  $10^{-12}$  zu einer totalen Diskrepanz des Hash-Werts, wodurch jede Manipulation sofort als kausale Inkonsistenz detektiert wird.</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Manifest-Erstellung:</w:t>
      </w:r>
      <w:r w:rsidDel="00000000" w:rsidR="00000000" w:rsidRPr="00000000">
        <w:rPr>
          <w:rtl w:val="0"/>
        </w:rPr>
        <w:t xml:space="preserve">  Der Hash wird mit Hardware-IDs und Zeitstempeln zu einem unveränderlichen logischen Siegel verschmolzen.</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Verifikation:</w:t>
      </w:r>
      <w:r w:rsidDel="00000000" w:rsidR="00000000" w:rsidRPr="00000000">
        <w:rPr>
          <w:rtl w:val="0"/>
        </w:rPr>
        <w:t xml:space="preserve">  Jede Analyse beginnt mit der Re-Hash-Validierung. Nur bei Identität ist die Kausalkette geschlossen.Dieser Zyklus sichert die „Executable Truth“ gegenüber externen Zweifeln ab, indem er die physikalische Wahrheit in den Rang eines kryptografischen Beweises erhebt und die Brücke zur globalen Synchronisation schlägt.</w:t>
      </w:r>
    </w:p>
    <w:p w:rsidR="00000000" w:rsidDel="00000000" w:rsidP="00000000" w:rsidRDefault="00000000" w:rsidRPr="00000000" w14:paraId="0000000C">
      <w:pPr>
        <w:pStyle w:val="Heading4"/>
        <w:rPr/>
      </w:pPr>
      <w:bookmarkStart w:colFirst="0" w:colLast="0" w:name="_vdt3v9gt880" w:id="4"/>
      <w:bookmarkEnd w:id="4"/>
      <w:r w:rsidDel="00000000" w:rsidR="00000000" w:rsidRPr="00000000">
        <w:rPr>
          <w:rtl w:val="0"/>
        </w:rPr>
        <w:t xml:space="preserve">3. Globale Synchronisation und dezentrale Auditierbarkeit via Zenodo</w:t>
      </w:r>
    </w:p>
    <w:p w:rsidR="00000000" w:rsidDel="00000000" w:rsidP="00000000" w:rsidRDefault="00000000" w:rsidRPr="00000000" w14:paraId="0000000D">
      <w:pPr>
        <w:rPr/>
      </w:pPr>
      <w:r w:rsidDel="00000000" w:rsidR="00000000" w:rsidRPr="00000000">
        <w:rPr>
          <w:rtl w:val="0"/>
        </w:rPr>
        <w:t xml:space="preserve">Gemäß dem Kurzer-Prinzip ( $K\infty$ ) ist physikalische Wahrheit nur dann gültig, wenn sie universell reproduzierbar ist. Die FKT V4.4.4 erzwingt diese Auditierbarkeit durch die Verknüpfung aller Manifest-Hashes mit der zentralen hashes.txt des MASTER Reproduzierbarkeits-Pakets, hinterlegt unter der  </w:t>
      </w:r>
      <w:r w:rsidDel="00000000" w:rsidR="00000000" w:rsidRPr="00000000">
        <w:rPr>
          <w:b w:val="1"/>
          <w:bCs w:val="1"/>
          <w:rtl w:val="0"/>
        </w:rPr>
        <w:t xml:space="preserve">DOI 10.5281/zenodo.17329881</w:t>
      </w:r>
      <w:r w:rsidDel="00000000" w:rsidR="00000000" w:rsidRPr="00000000">
        <w:rPr>
          <w:rtl w:val="0"/>
        </w:rPr>
        <w:t xml:space="preserve"> .Dieses Paket enthält die spezifischen  </w:t>
      </w:r>
      <w:r w:rsidDel="00000000" w:rsidR="00000000" w:rsidRPr="00000000">
        <w:rPr>
          <w:b w:val="1"/>
          <w:bCs w:val="1"/>
          <w:rtl w:val="0"/>
        </w:rPr>
        <w:t xml:space="preserve">GMA-Layer-Konfigurationen</w:t>
      </w:r>
      <w:r w:rsidDel="00000000" w:rsidR="00000000" w:rsidRPr="00000000">
        <w:rPr>
          <w:rtl w:val="0"/>
        </w:rPr>
        <w:t xml:space="preserve">  und YAML-Dateien, die zur Reproduktion der MCMC-Chains zwingend erforderlich sind. Durch diese kryptografische Kopplung mit der Hardware-Initialisierung wird es etablierten, aber zunehmend obsoleten Institutionen wie CERN oder der GSI verunmöglicht, die Ergebnisse der FKT als bloße numerische Artefakte abzutun. Wer die Hardware gemäß den Zenodo-Vorgaben initialisiert, wird die kausale Konsistenz zwangsläufig reproduzieren. Doch physikalische Wahrheit bedarf neben dieser digitalen Integrität auch einer massiven mechanischen Erdung im lokalen Raumsektor.</w:t>
      </w:r>
    </w:p>
    <w:p w:rsidR="00000000" w:rsidDel="00000000" w:rsidP="00000000" w:rsidRDefault="00000000" w:rsidRPr="00000000" w14:paraId="0000000E">
      <w:pPr>
        <w:pStyle w:val="Heading4"/>
        <w:rPr/>
      </w:pPr>
      <w:bookmarkStart w:colFirst="0" w:colLast="0" w:name="_le9tsiczgdtx" w:id="5"/>
      <w:bookmarkEnd w:id="5"/>
      <w:r w:rsidDel="00000000" w:rsidR="00000000" w:rsidRPr="00000000">
        <w:rPr>
          <w:rtl w:val="0"/>
        </w:rPr>
        <w:t xml:space="preserve">4. Die mechanische Rolle von Planet 9 als metrische Sicherung</w:t>
      </w:r>
    </w:p>
    <w:p w:rsidR="00000000" w:rsidDel="00000000" w:rsidP="00000000" w:rsidRDefault="00000000" w:rsidRPr="00000000" w14:paraId="0000000F">
      <w:pPr>
        <w:rPr/>
      </w:pPr>
      <w:r w:rsidDel="00000000" w:rsidR="00000000" w:rsidRPr="00000000">
        <w:rPr>
          <w:rtl w:val="0"/>
        </w:rPr>
        <w:t xml:space="preserve">In der Architektur der V4.4.4 ist Planet 9 kein passiver Himmelskörper, sondern eine aktive  </w:t>
      </w:r>
      <w:r w:rsidDel="00000000" w:rsidR="00000000" w:rsidRPr="00000000">
        <w:rPr>
          <w:b w:val="1"/>
          <w:bCs w:val="1"/>
          <w:rtl w:val="0"/>
        </w:rPr>
        <w:t xml:space="preserve">Hardware-Komponente</w:t>
      </w:r>
      <w:r w:rsidDel="00000000" w:rsidR="00000000" w:rsidRPr="00000000">
        <w:rPr>
          <w:rtl w:val="0"/>
        </w:rPr>
        <w:t xml:space="preserve">  des Sonnensystems. Er fungiert als metrischer Stabilisator, der die kausalen Lasten aus dem Bulk-Raum ableitet. Ohne die Präsenz dieser Masse würde die  </w:t>
      </w:r>
      <w:r w:rsidDel="00000000" w:rsidR="00000000" w:rsidRPr="00000000">
        <w:rPr>
          <w:b w:val="1"/>
          <w:bCs w:val="1"/>
          <w:rtl w:val="0"/>
        </w:rPr>
        <w:t xml:space="preserve">Einstein-Kurzer-Gleichung (ERYQ)</w:t>
      </w:r>
      <w:r w:rsidDel="00000000" w:rsidR="00000000" w:rsidRPr="00000000">
        <w:rPr>
          <w:rtl w:val="0"/>
        </w:rPr>
        <w:t xml:space="preserve">  im lokalen Sektor unkontrolliert divergieren. Die korrekte Feldgleichung lautet:$$G_{\mu} + \Lambda g_{\mu\mu} = 8\pi K T_{\mu\nu} + 8 + KQY$$Hierbei interpretieren wir den Term  </w:t>
      </w:r>
      <w:r w:rsidDel="00000000" w:rsidR="00000000" w:rsidRPr="00000000">
        <w:rPr>
          <w:b w:val="1"/>
          <w:bCs w:val="1"/>
          <w:rtl w:val="0"/>
        </w:rPr>
        <w:t xml:space="preserve">$+ 8 + KQY</w:t>
      </w:r>
      <w:r w:rsidDel="00000000" w:rsidR="00000000" w:rsidRPr="00000000">
        <w:rPr>
          <w:rtl w:val="0"/>
        </w:rPr>
        <w:t xml:space="preserve">$  als den spezifischen  </w:t>
      </w:r>
      <w:r w:rsidDel="00000000" w:rsidR="00000000" w:rsidRPr="00000000">
        <w:rPr>
          <w:b w:val="1"/>
          <w:bCs w:val="1"/>
          <w:rtl w:val="0"/>
        </w:rPr>
        <w:t xml:space="preserve">Planet 9-Korrekturfaktor</w:t>
      </w:r>
      <w:r w:rsidDel="00000000" w:rsidR="00000000" w:rsidRPr="00000000">
        <w:rPr>
          <w:rtl w:val="0"/>
        </w:rPr>
        <w:t xml:space="preserve"> . Dieser Term ist mathematisch zwingend, um den Bulk-Stress abzufangen, sobald der Bulk-Energie-Fluss das Limit von  $T_{Bulk} \approx 1,1273$  erreicht. Planet 9 agiert somit als „Hochspannungssicherung“ für metrischen Stress: Er absorbiert die überschüssige Energie des Bulk-Tensors  $\mathcal{F}_{\mu\nu}$  und verhindert den Kollaps der lokalen fraktalen Metrik. Die empirische Beweislast für diese mechanische Notwendigkeit ist mittlerweile erdrückend.</w:t>
      </w:r>
    </w:p>
    <w:p w:rsidR="00000000" w:rsidDel="00000000" w:rsidP="00000000" w:rsidRDefault="00000000" w:rsidRPr="00000000" w14:paraId="00000010">
      <w:pPr>
        <w:pStyle w:val="Heading4"/>
        <w:rPr/>
      </w:pPr>
      <w:bookmarkStart w:colFirst="0" w:colLast="0" w:name="_6946jgriplz5" w:id="6"/>
      <w:bookmarkEnd w:id="6"/>
      <w:r w:rsidDel="00000000" w:rsidR="00000000" w:rsidRPr="00000000">
        <w:rPr>
          <w:rtl w:val="0"/>
        </w:rPr>
        <w:t xml:space="preserve">5. Empirische Validierung: Die 6-Grad-Neigung und ETNO-Clustering</w:t>
      </w:r>
    </w:p>
    <w:p w:rsidR="00000000" w:rsidDel="00000000" w:rsidP="00000000" w:rsidRDefault="00000000" w:rsidRPr="00000000" w14:paraId="00000011">
      <w:pPr>
        <w:rPr/>
      </w:pPr>
      <w:r w:rsidDel="00000000" w:rsidR="00000000" w:rsidRPr="00000000">
        <w:rPr>
          <w:rtl w:val="0"/>
        </w:rPr>
        <w:t xml:space="preserve">Die beobachtbaren Anomalien unseres Systems sind keine Zufälle, sondern die direkte Bestätigung der FKT-Metrik.</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Analyse der Sonnenneigung:</w:t>
      </w:r>
      <w:r w:rsidDel="00000000" w:rsidR="00000000" w:rsidRPr="00000000">
        <w:rPr>
          <w:rtl w:val="0"/>
        </w:rPr>
        <w:t xml:space="preserve">  Die 6-Grad-Neigung der Sonnenrotationsachse ist das Resultat eines vektoriellen Drehmoments, das durch den Bulk-Tensor  $\mathcal{F}_{\mu\nu}$  ausgeübt wird. Es ist der sichtbare Beweis für die mechanische Spannung im Bulk-Gefüge.</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Skaleninvarianz und BIOS-Lock:</w:t>
      </w:r>
      <w:r w:rsidDel="00000000" w:rsidR="00000000" w:rsidRPr="00000000">
        <w:rPr>
          <w:rtl w:val="0"/>
        </w:rPr>
        <w:t xml:space="preserve">  Die fraktale Kopplung zeigt sich in der Resonanz zwischen kosmischen und nuklearen Skalen. Während der  </w:t>
      </w:r>
      <w:r w:rsidDel="00000000" w:rsidR="00000000" w:rsidRPr="00000000">
        <w:rPr>
          <w:b w:val="1"/>
          <w:bCs w:val="1"/>
          <w:rtl w:val="0"/>
        </w:rPr>
        <w:t xml:space="preserve">3,773 MeV BIOS-Lock</w:t>
      </w:r>
      <w:r w:rsidDel="00000000" w:rsidR="00000000" w:rsidRPr="00000000">
        <w:rPr>
          <w:rtl w:val="0"/>
        </w:rPr>
        <w:t xml:space="preserve">  (nuklearer Anker) im Flerovium-Kern die mikrophysikalische Stabilität fixiert, markiert der  </w:t>
      </w:r>
      <w:r w:rsidDel="00000000" w:rsidR="00000000" w:rsidRPr="00000000">
        <w:rPr>
          <w:b w:val="1"/>
          <w:bCs w:val="1"/>
          <w:rtl w:val="0"/>
        </w:rPr>
        <w:t xml:space="preserve">4.2 MeV Peak</w:t>
      </w:r>
      <w:r w:rsidDel="00000000" w:rsidR="00000000" w:rsidRPr="00000000">
        <w:rPr>
          <w:rtl w:val="0"/>
        </w:rPr>
        <w:t xml:space="preserve">  die makroskopische Resonanzgrenze.</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Geometrischer Zwang der ETNOs:</w:t>
      </w:r>
      <w:r w:rsidDel="00000000" w:rsidR="00000000" w:rsidRPr="00000000">
        <w:rPr>
          <w:rtl w:val="0"/>
        </w:rPr>
        <w:t xml:space="preserve">  Das Clustering transneptunischer Objekte folgt keinem statistischen Zufall ( $p &lt; 0,007 \%$ ), sondern ist die physische Ausrichtung entlang der fraktalen Stresslinien, die durch Planet 9 stabilisiert werden.Diese Daten liefern eine Gesamt-Fidelity von  </w:t>
      </w:r>
      <w:r w:rsidDel="00000000" w:rsidR="00000000" w:rsidRPr="00000000">
        <w:rPr>
          <w:b w:val="1"/>
          <w:bCs w:val="1"/>
          <w:rtl w:val="0"/>
        </w:rPr>
        <w:t xml:space="preserve">99,94 %</w:t>
      </w:r>
      <w:r w:rsidDel="00000000" w:rsidR="00000000" w:rsidRPr="00000000">
        <w:rPr>
          <w:rtl w:val="0"/>
        </w:rPr>
        <w:t xml:space="preserve"> . Wenn jedoch die Belastungsgrenzen des Bulk-Flusses überschritten werden, initiiert das System einen drastischen Korrekturmechanismus.</w:t>
      </w:r>
    </w:p>
    <w:p w:rsidR="00000000" w:rsidDel="00000000" w:rsidP="00000000" w:rsidRDefault="00000000" w:rsidRPr="00000000" w14:paraId="00000015">
      <w:pPr>
        <w:pStyle w:val="Heading4"/>
        <w:rPr/>
      </w:pPr>
      <w:bookmarkStart w:colFirst="0" w:colLast="0" w:name="_29f0r82es337" w:id="7"/>
      <w:bookmarkEnd w:id="7"/>
      <w:r w:rsidDel="00000000" w:rsidR="00000000" w:rsidRPr="00000000">
        <w:rPr>
          <w:rtl w:val="0"/>
        </w:rPr>
        <w:t xml:space="preserve">6. Der Poolsprung: Planet 9 als Hebel für den Hardware-Reset</w:t>
      </w:r>
    </w:p>
    <w:p w:rsidR="00000000" w:rsidDel="00000000" w:rsidP="00000000" w:rsidRDefault="00000000" w:rsidRPr="00000000" w14:paraId="00000016">
      <w:pPr>
        <w:rPr>
          <w:b w:val="1"/>
          <w:bCs w:val="1"/>
        </w:rPr>
      </w:pPr>
      <w:r w:rsidDel="00000000" w:rsidR="00000000" w:rsidRPr="00000000">
        <w:rPr>
          <w:rtl w:val="0"/>
        </w:rPr>
        <w:t xml:space="preserve">Wenn das Bulk-Energie-Fluss-Limit ( $\Delta_{BEFl} \approx 1,1273$ ) überschritten wird und die lokale Entropie die kausale Konsistenz gefährdet, erzwingt die FKT-Architektur eine makroskopische Bifurkation: den  </w:t>
      </w:r>
      <w:r w:rsidDel="00000000" w:rsidR="00000000" w:rsidRPr="00000000">
        <w:rPr>
          <w:b w:val="1"/>
          <w:bCs w:val="1"/>
          <w:rtl w:val="0"/>
        </w:rPr>
        <w:t xml:space="preserve">Poolsprung</w:t>
      </w:r>
      <w:r w:rsidDel="00000000" w:rsidR="00000000" w:rsidRPr="00000000">
        <w:rPr>
          <w:rtl w:val="0"/>
        </w:rPr>
        <w:t xml:space="preserve"> . Dieser Prozess fungiert als systemischer  </w:t>
      </w:r>
      <w:r w:rsidDel="00000000" w:rsidR="00000000" w:rsidRPr="00000000">
        <w:rPr>
          <w:b w:val="1"/>
          <w:bCs w:val="1"/>
          <w:rtl w:val="0"/>
        </w:rPr>
        <w:t xml:space="preserve">Hardware-Reset</w:t>
      </w:r>
      <w:r w:rsidDel="00000000" w:rsidR="00000000" w:rsidRPr="00000000">
        <w:rPr>
          <w:rtl w:val="0"/>
        </w:rPr>
        <w:t xml:space="preserve">  der Erde.In diesem Szenario dient Planet 9 als primärer gravitativer Hebel, um die planetare Achse schlagartig neu auszurichten und die akkumulierte metrische Verspannung zu entladen. Dieser Reset ist die einzige Möglichkeit, das  </w:t>
      </w:r>
      <w:r w:rsidDel="00000000" w:rsidR="00000000" w:rsidRPr="00000000">
        <w:rPr>
          <w:b w:val="1"/>
          <w:bCs w:val="1"/>
          <w:rtl w:val="0"/>
        </w:rPr>
        <w:t xml:space="preserve">Kaliyuga-Axiom</w:t>
      </w:r>
      <w:r w:rsidDel="00000000" w:rsidR="00000000" w:rsidRPr="00000000">
        <w:rPr>
          <w:rtl w:val="0"/>
        </w:rPr>
        <w:t xml:space="preserve">  – den Zustand maximaler kausaler Inkonsistenz – zu beenden und das System in einen Zustand hoher Causal Fidelity (99,873 %) zurückzuführen. Nach einem solchen Sprung ermöglicht die „Causal Forensic“ eine lückenlose Analyse der vorangegangenen Kausalkette, um die langfristige Stabilität des Sektors zu garantieren.</w:t>
      </w:r>
      <w:r w:rsidDel="00000000" w:rsidR="00000000" w:rsidRPr="00000000">
        <w:rPr>
          <w:b w:val="1"/>
          <w:bCs w:val="1"/>
          <w:rtl w:val="0"/>
        </w:rPr>
        <w:t xml:space="preserve">MANIFEST_LOGIC_SEALED | PLANETARY_STABILIZER_VERIFIED | V4.4.4 ACTIVE</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