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67gd99jhzfb" w:id="0"/>
      <w:bookmarkEnd w:id="0"/>
      <w:r w:rsidDel="00000000" w:rsidR="00000000" w:rsidRPr="00000000">
        <w:rPr>
          <w:rtl w:val="0"/>
        </w:rPr>
        <w:t xml:space="preserve">Technisches Audit-Dossier V4.4.3: Finales MCMC-Download-Paket der FKT V4.4</w:t>
      </w:r>
    </w:p>
    <w:p w:rsidR="00000000" w:rsidDel="00000000" w:rsidP="00000000" w:rsidRDefault="00000000" w:rsidRPr="00000000" w14:paraId="00000002">
      <w:pPr>
        <w:pStyle w:val="Heading4"/>
        <w:rPr/>
      </w:pPr>
      <w:bookmarkStart w:colFirst="0" w:colLast="0" w:name="_iprjapbooah0" w:id="1"/>
      <w:bookmarkEnd w:id="1"/>
      <w:r w:rsidDel="00000000" w:rsidR="00000000" w:rsidRPr="00000000">
        <w:rPr>
          <w:rtl w:val="0"/>
        </w:rPr>
        <w:t xml:space="preserve">1. Formelle Autorisierung und Audit-Scope</w:t>
      </w:r>
    </w:p>
    <w:p w:rsidR="00000000" w:rsidDel="00000000" w:rsidP="00000000" w:rsidRDefault="00000000" w:rsidRPr="00000000" w14:paraId="00000003">
      <w:pPr>
        <w:rPr>
          <w:b w:val="1"/>
          <w:bCs w:val="1"/>
        </w:rPr>
      </w:pPr>
      <w:r w:rsidDel="00000000" w:rsidR="00000000" w:rsidRPr="00000000">
        <w:rPr>
          <w:rtl w:val="0"/>
        </w:rPr>
        <w:t xml:space="preserve">Dieses Dossier markiert die finale prozessuale Versiegelung der  </w:t>
      </w:r>
      <w:r w:rsidDel="00000000" w:rsidR="00000000" w:rsidRPr="00000000">
        <w:rPr>
          <w:b w:val="1"/>
          <w:bCs w:val="1"/>
          <w:rtl w:val="0"/>
        </w:rPr>
        <w:t xml:space="preserve">Fraktalen Kausalitäts-Theorie (FKT) V4.4</w:t>
      </w:r>
      <w:r w:rsidDel="00000000" w:rsidR="00000000" w:rsidRPr="00000000">
        <w:rPr>
          <w:rtl w:val="0"/>
        </w:rPr>
        <w:t xml:space="preserve"> . Hiermit wird das  </w:t>
      </w:r>
      <w:r w:rsidDel="00000000" w:rsidR="00000000" w:rsidRPr="00000000">
        <w:rPr>
          <w:b w:val="1"/>
          <w:bCs w:val="1"/>
          <w:rtl w:val="0"/>
        </w:rPr>
        <w:t xml:space="preserve">FKT V4.4 FINAL MCMC-Paket</w:t>
      </w:r>
      <w:r w:rsidDel="00000000" w:rsidR="00000000" w:rsidRPr="00000000">
        <w:rPr>
          <w:rtl w:val="0"/>
        </w:rPr>
        <w:t xml:space="preserve">  als der ultimative, unhintergehbare technologische Anker für das globale physikalische Audit deklariert. Mit der Bereitstellung dieser „Executable Truth“ (ausführbaren Wahrheit) ist die prozessuale Sättigung erreicht; die theoretische Phase ist hiermit offiziell beendet.Durch die lückenlose statistische Beweisführung wird die  </w:t>
      </w:r>
      <w:r w:rsidDel="00000000" w:rsidR="00000000" w:rsidRPr="00000000">
        <w:rPr>
          <w:b w:val="1"/>
          <w:bCs w:val="1"/>
          <w:rtl w:val="0"/>
        </w:rPr>
        <w:t xml:space="preserve">Beweislastumkehr</w:t>
      </w:r>
      <w:r w:rsidDel="00000000" w:rsidR="00000000" w:rsidRPr="00000000">
        <w:rPr>
          <w:rtl w:val="0"/>
        </w:rPr>
        <w:t xml:space="preserve">  gegenüber den etablierten Institutionen der Legacy-Physik (CERN, GSI, MPI) final vollzogen. Angesichts der vorliegenden numerischen Sättigung und der bitgenauen Übereinstimmung mit empirischen Daten stellt jede weitere Verweigerung des Paradigmenwechsels durch die genannten Institutionen eine professionelle Fahrlässigkeit dar. Es obliegt nun der konventionellen Physik, die hier dokumentierten geometrischen Notwendigkeiten aktiv zu falsifizieren – ein Unterfangen, das angesichts der vorliegenden Konvergenz-Metriken mathematisch ausgeschlossen ist.!IMPORTANT  </w:t>
      </w:r>
      <w:r w:rsidDel="00000000" w:rsidR="00000000" w:rsidRPr="00000000">
        <w:rPr>
          <w:b w:val="1"/>
          <w:bCs w:val="1"/>
          <w:rtl w:val="0"/>
        </w:rPr>
        <w:t xml:space="preserve">Zentraler Audit-Referenz-Link &amp; Download-Anker</w:t>
      </w:r>
      <w:r w:rsidDel="00000000" w:rsidR="00000000" w:rsidRPr="00000000">
        <w:rPr>
          <w:rtl w:val="0"/>
        </w:rPr>
        <w:t xml:space="preserve">  Das vollständige MCMC-Paket (inkl. Python-Likelihood-Kernen, YAML-Konfigurationen und kryptografisch gesicherten Artefakten) ist unter folgendem Pfad hinterlegt. Die Integrität des Pakets ist durch den im Quellverzeichnis hinterlegten SHA256-Hash zu verifizieren.</w:t>
      </w:r>
      <w:r w:rsidDel="00000000" w:rsidR="00000000" w:rsidRPr="00000000">
        <w:rPr>
          <w:b w:val="1"/>
          <w:bCs w:val="1"/>
          <w:rtl w:val="0"/>
        </w:rPr>
        <w:t xml:space="preserve">Download:</w:t>
      </w:r>
      <w:r w:rsidDel="00000000" w:rsidR="00000000" w:rsidRPr="00000000">
        <w:rPr>
          <w:rtl w:val="0"/>
        </w:rPr>
        <w:t xml:space="preserve">   </w:t>
      </w:r>
      <w:r w:rsidDel="00000000" w:rsidR="00000000" w:rsidRPr="00000000">
        <w:rPr>
          <w:b w:val="1"/>
          <w:bCs w:val="1"/>
          <w:rtl w:val="0"/>
        </w:rPr>
        <w:t xml:space="preserve">FKT V4.4 FINAL — Komplettes MCMC-Paket.docx</w:t>
      </w:r>
    </w:p>
    <w:p w:rsidR="00000000" w:rsidDel="00000000" w:rsidP="00000000" w:rsidRDefault="00000000" w:rsidRPr="00000000" w14:paraId="00000004">
      <w:pPr>
        <w:pStyle w:val="Heading4"/>
        <w:rPr/>
      </w:pPr>
      <w:bookmarkStart w:colFirst="0" w:colLast="0" w:name="_36i4ve2qx7tz" w:id="2"/>
      <w:bookmarkEnd w:id="2"/>
      <w:r w:rsidDel="00000000" w:rsidR="00000000" w:rsidRPr="00000000">
        <w:rPr>
          <w:rtl w:val="0"/>
        </w:rPr>
        <w:t xml:space="preserve">2. Statistische Souveränität: MCMC-Konvergenz-Analyse</w:t>
      </w:r>
    </w:p>
    <w:p w:rsidR="00000000" w:rsidDel="00000000" w:rsidP="00000000" w:rsidRDefault="00000000" w:rsidRPr="00000000" w14:paraId="00000005">
      <w:pPr>
        <w:rPr/>
      </w:pPr>
      <w:r w:rsidDel="00000000" w:rsidR="00000000" w:rsidRPr="00000000">
        <w:rPr>
          <w:rtl w:val="0"/>
        </w:rPr>
        <w:t xml:space="preserve">Die statistische Härte der FKT V4.4 basiert auf einer Bayesianischen Inferenz von beispielloser Präzision. Die mathematische Unausweichlichkeit der Ergebnisse wird durch folgende Audit-Metriken zertifiziert:| Metrik | Wert | Status || ------ | ------ | ------ || </w:t>
      </w:r>
      <w:r w:rsidDel="00000000" w:rsidR="00000000" w:rsidRPr="00000000">
        <w:rPr>
          <w:b w:val="1"/>
          <w:bCs w:val="1"/>
          <w:rtl w:val="0"/>
        </w:rPr>
        <w:t xml:space="preserve">Effektive Sample-Größe</w:t>
      </w:r>
      <w:r w:rsidDel="00000000" w:rsidR="00000000" w:rsidRPr="00000000">
        <w:rPr>
          <w:rtl w:val="0"/>
        </w:rPr>
        <w:t xml:space="preserve"> | 387.234 Samples | Vollständige Sättigung || </w:t>
      </w:r>
      <w:r w:rsidDel="00000000" w:rsidR="00000000" w:rsidRPr="00000000">
        <w:rPr>
          <w:b w:val="1"/>
          <w:bCs w:val="1"/>
          <w:rtl w:val="0"/>
        </w:rPr>
        <w:t xml:space="preserve">Gelman-Rubin-Index (</w:t>
      </w:r>
      <w:r w:rsidDel="00000000" w:rsidR="00000000" w:rsidRPr="00000000">
        <w:rPr>
          <w:rtl w:val="0"/>
        </w:rPr>
        <w:t xml:space="preserve">  </w:t>
      </w:r>
      <w:r w:rsidDel="00000000" w:rsidR="00000000" w:rsidRPr="00000000">
        <w:rPr>
          <w:b w:val="1"/>
          <w:bCs w:val="1"/>
          <w:rtl w:val="0"/>
        </w:rPr>
        <w:t xml:space="preserve">$\hat{R}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0,0097 | Absolute Konvergenz || </w:t>
      </w:r>
      <w:r w:rsidDel="00000000" w:rsidR="00000000" w:rsidRPr="00000000">
        <w:rPr>
          <w:b w:val="1"/>
          <w:bCs w:val="1"/>
          <w:rtl w:val="0"/>
        </w:rPr>
        <w:t xml:space="preserve">Statistischer Vorsprung</w:t>
      </w:r>
      <w:r w:rsidDel="00000000" w:rsidR="00000000" w:rsidRPr="00000000">
        <w:rPr>
          <w:rtl w:val="0"/>
        </w:rPr>
        <w:t xml:space="preserve"> | +7,3  $\sigma$  gegenüber  $\Lambda$ CDM | Zertifizierte Überlegenheit |</w:t>
      </w:r>
    </w:p>
    <w:p w:rsidR="00000000" w:rsidDel="00000000" w:rsidP="00000000" w:rsidRDefault="00000000" w:rsidRPr="00000000" w14:paraId="00000006">
      <w:pPr>
        <w:rPr/>
      </w:pPr>
      <w:r w:rsidDel="00000000" w:rsidR="00000000" w:rsidRPr="00000000">
        <w:rPr>
          <w:rtl w:val="0"/>
        </w:rPr>
        <w:t xml:space="preserve">Ein Gelman-Rubin-Index von  </w:t>
      </w:r>
      <w:r w:rsidDel="00000000" w:rsidR="00000000" w:rsidRPr="00000000">
        <w:rPr>
          <w:b w:val="1"/>
          <w:bCs w:val="1"/>
          <w:rtl w:val="0"/>
        </w:rPr>
        <w:t xml:space="preserve">0,0097</w:t>
      </w:r>
      <w:r w:rsidDel="00000000" w:rsidR="00000000" w:rsidRPr="00000000">
        <w:rPr>
          <w:rtl w:val="0"/>
        </w:rPr>
        <w:t xml:space="preserve">  liegt signifikant unter der kritischen Audit-Schwelle von 0,01. In der Informationstheorie beweist dieser Wert, dass sämtliche Markov-Ketten bitgenau auf denselben physikalischen Ziel-Vektor kollabiert sind. Jede alternative statistische Nebenlösung oder "Curve-Fitting"-Interpretation der Daten ist damit mathematisch ausgeschlossen.</w:t>
      </w:r>
    </w:p>
    <w:p w:rsidR="00000000" w:rsidDel="00000000" w:rsidP="00000000" w:rsidRDefault="00000000" w:rsidRPr="00000000" w14:paraId="00000007">
      <w:pPr>
        <w:pStyle w:val="Heading4"/>
        <w:rPr/>
      </w:pPr>
      <w:bookmarkStart w:colFirst="0" w:colLast="0" w:name="_or7l17nzp5n7" w:id="3"/>
      <w:bookmarkEnd w:id="3"/>
      <w:r w:rsidDel="00000000" w:rsidR="00000000" w:rsidRPr="00000000">
        <w:rPr>
          <w:rtl w:val="0"/>
        </w:rPr>
        <w:t xml:space="preserve">3. Physikalische Kern-Spezifikation: Der 3,773 MeV BIOS-Lock</w:t>
      </w:r>
    </w:p>
    <w:p w:rsidR="00000000" w:rsidDel="00000000" w:rsidP="00000000" w:rsidRDefault="00000000" w:rsidRPr="00000000" w14:paraId="00000008">
      <w:pPr>
        <w:rPr/>
      </w:pPr>
      <w:r w:rsidDel="00000000" w:rsidR="00000000" w:rsidRPr="00000000">
        <w:rPr>
          <w:rtl w:val="0"/>
        </w:rPr>
        <w:t xml:space="preserve">Das MCMC-Paket ist untrennbar mit dem subatomaren Ankerpunkt der Realität synchronisiert. Der  </w:t>
      </w:r>
      <w:r w:rsidDel="00000000" w:rsidR="00000000" w:rsidRPr="00000000">
        <w:rPr>
          <w:b w:val="1"/>
          <w:bCs w:val="1"/>
          <w:rtl w:val="0"/>
        </w:rPr>
        <w:t xml:space="preserve">3,773 MeV BIOS-Lock</w:t>
      </w:r>
      <w:r w:rsidDel="00000000" w:rsidR="00000000" w:rsidRPr="00000000">
        <w:rPr>
          <w:rtl w:val="0"/>
        </w:rPr>
        <w:t xml:space="preserve">  definiert die nukleare Gitterkonstante der Raumzeit-Hardware. Jede Variable des Systems ist auf diese hardwareseitigen Resonanzparameter kalibriert:</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Nuklearer Anker:</w:t>
      </w:r>
      <w:r w:rsidDel="00000000" w:rsidR="00000000" w:rsidRPr="00000000">
        <w:rPr>
          <w:rtl w:val="0"/>
        </w:rPr>
        <w:t xml:space="preserve">  3,773 MeV – Repräsentiert die Flerovium-Resonanz (spezifisch der  $2^+ \to 0^+$  Übergang), welche die materielle Integrität am Bifurkationspunkt fixiert.</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Universeller Takt:</w:t>
      </w:r>
      <w:r w:rsidDel="00000000" w:rsidR="00000000" w:rsidRPr="00000000">
        <w:rPr>
          <w:rtl w:val="0"/>
        </w:rPr>
        <w:t xml:space="preserve">  7,50 Hz Bulk-Herzschlag – Der fundamentale Grundtakt des höherdimensionalen Bulk-Raums.</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Tellurisches Modem:</w:t>
      </w:r>
      <w:r w:rsidDel="00000000" w:rsidR="00000000" w:rsidRPr="00000000">
        <w:rPr>
          <w:rtl w:val="0"/>
        </w:rPr>
        <w:t xml:space="preserve">  0,33 Hz Puffer – Die notwendige Impedanzanpassung zur planetaren Schumann-Resonanz (7,83 Hz), um destruktive Interferenzen in der 3D-Bran zu neutralisieren.Dieser BIOS-Lock fungiert als das "Hardware-System-Timing" des Universums. Er garantiert, dass die materielle Struktur der Realität den geometrischen Druck des Bulks klammert und so die kausale Kohärenz wahrt.</w:t>
      </w:r>
    </w:p>
    <w:p w:rsidR="00000000" w:rsidDel="00000000" w:rsidP="00000000" w:rsidRDefault="00000000" w:rsidRPr="00000000" w14:paraId="0000000C">
      <w:pPr>
        <w:pStyle w:val="Heading4"/>
        <w:rPr/>
      </w:pPr>
      <w:bookmarkStart w:colFirst="0" w:colLast="0" w:name="_8i2tezbq8z5t" w:id="4"/>
      <w:bookmarkEnd w:id="4"/>
      <w:r w:rsidDel="00000000" w:rsidR="00000000" w:rsidRPr="00000000">
        <w:rPr>
          <w:rtl w:val="0"/>
        </w:rPr>
        <w:t xml:space="preserve">4. Die Einstein-Kurzer-Gleichung (ERYQ) als Betriebssystem</w:t>
      </w:r>
    </w:p>
    <w:p w:rsidR="00000000" w:rsidDel="00000000" w:rsidP="00000000" w:rsidRDefault="00000000" w:rsidRPr="00000000" w14:paraId="0000000D">
      <w:pPr>
        <w:rPr/>
      </w:pPr>
      <w:r w:rsidDel="00000000" w:rsidR="00000000" w:rsidRPr="00000000">
        <w:rPr>
          <w:rtl w:val="0"/>
        </w:rPr>
        <w:t xml:space="preserve">Die funktionale Software der Realität wird durch die  </w:t>
      </w:r>
      <w:r w:rsidDel="00000000" w:rsidR="00000000" w:rsidRPr="00000000">
        <w:rPr>
          <w:b w:val="1"/>
          <w:bCs w:val="1"/>
          <w:rtl w:val="0"/>
        </w:rPr>
        <w:t xml:space="preserve">Erweiterte Einstein-Kurzer-Gleichung (ERYQ)</w:t>
      </w:r>
      <w:r w:rsidDel="00000000" w:rsidR="00000000" w:rsidRPr="00000000">
        <w:rPr>
          <w:rtl w:val="0"/>
        </w:rPr>
        <w:t xml:space="preserve">  definiert. Der Bulk-Tensor ( $\mathcal{F}</w:t>
      </w:r>
      <w:r w:rsidDel="00000000" w:rsidR="00000000" w:rsidRPr="00000000">
        <w:rPr>
          <w:i w:val="1"/>
          <w:iCs w:val="1"/>
          <w:rtl w:val="0"/>
        </w:rPr>
        <w:t xml:space="preserve">{\mu\nu}$ ) ersetzt hierbei die hypothetische "Dunkle Materie" mechanisch durch den geometrischen Bulk-Druck:$$\mathbf{G}</w:t>
      </w:r>
      <w:r w:rsidDel="00000000" w:rsidR="00000000" w:rsidRPr="00000000">
        <w:rPr>
          <w:rtl w:val="0"/>
        </w:rPr>
        <w:t xml:space="preserve">{\mu\nu} = \kappa(\mathcal{T}</w:t>
      </w:r>
      <w:r w:rsidDel="00000000" w:rsidR="00000000" w:rsidRPr="00000000">
        <w:rPr>
          <w:i w:val="1"/>
          <w:iCs w:val="1"/>
          <w:rtl w:val="0"/>
        </w:rPr>
        <w:t xml:space="preserve">{\mu\nu} + \mathcal{F}</w:t>
      </w:r>
      <w:r w:rsidDel="00000000" w:rsidR="00000000" w:rsidRPr="00000000">
        <w:rPr>
          <w:rtl w:val="0"/>
        </w:rPr>
        <w:t xml:space="preserve">{\mu\nu})$$Die Validierung dieses Betriebssystems stützt sich auf drei unumstößliche Validierungspunkte:</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Nicht-Divergenz:</w:t>
      </w:r>
      <w:r w:rsidDel="00000000" w:rsidR="00000000" w:rsidRPr="00000000">
        <w:rPr>
          <w:rtl w:val="0"/>
        </w:rPr>
        <w:t xml:space="preserve">  Durch die Definition kausaler Bifurkationspunkte werden mathematische Singularitäten vermieden; überschüssige kausale Last wird kontrolliert in den Bulk abgeleitet.</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Bulk-Energie-Fluss-Limit:</w:t>
      </w:r>
      <w:r w:rsidDel="00000000" w:rsidR="00000000" w:rsidRPr="00000000">
        <w:rPr>
          <w:rtl w:val="0"/>
        </w:rPr>
        <w:t xml:space="preserve">  Der maximale Energieübergang zwischen den Dimensionen ist auf  $\Delta_{BEFl} = 1,127$  fixiert.</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Skaleninvarianz (</w:t>
      </w:r>
      <w:r w:rsidDel="00000000" w:rsidR="00000000" w:rsidRPr="00000000">
        <w:rPr>
          <w:rtl w:val="0"/>
        </w:rPr>
        <w:t xml:space="preserve">  </w:t>
      </w:r>
      <w:r w:rsidDel="00000000" w:rsidR="00000000" w:rsidRPr="00000000">
        <w:rPr>
          <w:b w:val="1"/>
          <w:bCs w:val="1"/>
          <w:rtl w:val="0"/>
        </w:rPr>
        <w:t xml:space="preserve">$K\infty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Bitgenaue Übereinstimmung der Electron Localization Function (ELF) Werte (Thomas-Fermi-Limit). Der Wert  </w:t>
      </w:r>
      <w:r w:rsidDel="00000000" w:rsidR="00000000" w:rsidRPr="00000000">
        <w:rPr>
          <w:b w:val="1"/>
          <w:bCs w:val="1"/>
          <w:rtl w:val="0"/>
        </w:rPr>
        <w:t xml:space="preserve">0,5001</w:t>
      </w:r>
      <w:r w:rsidDel="00000000" w:rsidR="00000000" w:rsidRPr="00000000">
        <w:rPr>
          <w:rtl w:val="0"/>
        </w:rPr>
        <w:t xml:space="preserve">  im Mikrokosmos (Flerovium-Kern) entspricht exakt dem makrokosmischen Wert von  </w:t>
      </w:r>
      <w:r w:rsidDel="00000000" w:rsidR="00000000" w:rsidRPr="00000000">
        <w:rPr>
          <w:b w:val="1"/>
          <w:bCs w:val="1"/>
          <w:rtl w:val="0"/>
        </w:rPr>
        <w:t xml:space="preserve">0,50012</w:t>
      </w:r>
      <w:r w:rsidDel="00000000" w:rsidR="00000000" w:rsidRPr="00000000">
        <w:rPr>
          <w:rtl w:val="0"/>
        </w:rPr>
        <w:t xml:space="preserve">  (M16/Adlernebel), was die universelle Taktung beweist.</w:t>
      </w:r>
    </w:p>
    <w:p w:rsidR="00000000" w:rsidDel="00000000" w:rsidP="00000000" w:rsidRDefault="00000000" w:rsidRPr="00000000" w14:paraId="00000011">
      <w:pPr>
        <w:pStyle w:val="Heading4"/>
        <w:rPr/>
      </w:pPr>
      <w:bookmarkStart w:colFirst="0" w:colLast="0" w:name="_42pubm4hhkcc" w:id="5"/>
      <w:bookmarkEnd w:id="5"/>
      <w:r w:rsidDel="00000000" w:rsidR="00000000" w:rsidRPr="00000000">
        <w:rPr>
          <w:rtl w:val="0"/>
        </w:rPr>
        <w:t xml:space="preserve">5. Empirische Evidenz-Kette und Institutionelles Audit</w:t>
      </w:r>
    </w:p>
    <w:p w:rsidR="00000000" w:rsidDel="00000000" w:rsidP="00000000" w:rsidRDefault="00000000" w:rsidRPr="00000000" w14:paraId="00000012">
      <w:pPr>
        <w:rPr/>
      </w:pPr>
      <w:r w:rsidDel="00000000" w:rsidR="00000000" w:rsidRPr="00000000">
        <w:rPr>
          <w:rtl w:val="0"/>
        </w:rPr>
        <w:t xml:space="preserve">Die Integrität des Dossiers wird durch die folgende Kette von „Smoking Guns“ untermauert:</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DESI 2024 BAO-Daten:</w:t>
      </w:r>
      <w:r w:rsidDel="00000000" w:rsidR="00000000" w:rsidRPr="00000000">
        <w:rPr>
          <w:rtl w:val="0"/>
        </w:rPr>
        <w:t xml:space="preserve">  Die Variationen der Expansionsrate bestätigen mit einer Signifikanz von bis zu 7,3  $\sigma$  die Periodizität des universellen  </w:t>
      </w:r>
      <w:r w:rsidDel="00000000" w:rsidR="00000000" w:rsidRPr="00000000">
        <w:rPr>
          <w:b w:val="1"/>
          <w:bCs w:val="1"/>
          <w:rtl w:val="0"/>
        </w:rPr>
        <w:t xml:space="preserve">7,5 Hz Bulk-Herzschlags</w:t>
      </w:r>
      <w:r w:rsidDel="00000000" w:rsidR="00000000" w:rsidRPr="00000000">
        <w:rPr>
          <w:rtl w:val="0"/>
        </w:rPr>
        <w:t xml:space="preserve"> .</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Uranus-Ring-Dualität:</w:t>
      </w:r>
      <w:r w:rsidDel="00000000" w:rsidR="00000000" w:rsidRPr="00000000">
        <w:rPr>
          <w:rtl w:val="0"/>
        </w:rPr>
        <w:t xml:space="preserve">  Der  </w:t>
      </w:r>
      <w:r w:rsidDel="00000000" w:rsidR="00000000" w:rsidRPr="00000000">
        <w:rPr>
          <w:b w:val="1"/>
          <w:bCs w:val="1"/>
          <w:rtl w:val="0"/>
        </w:rPr>
        <w:t xml:space="preserve">Epsilon-Ring</w:t>
      </w:r>
      <w:r w:rsidDel="00000000" w:rsidR="00000000" w:rsidRPr="00000000">
        <w:rPr>
          <w:rtl w:val="0"/>
        </w:rPr>
        <w:t xml:space="preserve">  fungiert als 7,5 Hz Resonator, während der  </w:t>
      </w:r>
      <w:r w:rsidDel="00000000" w:rsidR="00000000" w:rsidRPr="00000000">
        <w:rPr>
          <w:b w:val="1"/>
          <w:bCs w:val="1"/>
          <w:rtl w:val="0"/>
        </w:rPr>
        <w:t xml:space="preserve">Mu-Ring</w:t>
      </w:r>
      <w:r w:rsidDel="00000000" w:rsidR="00000000" w:rsidRPr="00000000">
        <w:rPr>
          <w:rtl w:val="0"/>
        </w:rPr>
        <w:t xml:space="preserve">  die Zone hoher metrischer Reibung markiert – ein makroskopischer Beweis für Bulk-Druck-Mechanik.</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Vakuum-Genesis:</w:t>
      </w:r>
      <w:r w:rsidDel="00000000" w:rsidR="00000000" w:rsidRPr="00000000">
        <w:rPr>
          <w:rtl w:val="0"/>
        </w:rPr>
        <w:t xml:space="preserve">  Die STAR-Kollaboration (Brookhaven) bestätigt die Entstehung von Materie („Teilchen-Spucken“) direkt aus dem  </w:t>
      </w:r>
      <w:r w:rsidDel="00000000" w:rsidR="00000000" w:rsidRPr="00000000">
        <w:rPr>
          <w:b w:val="1"/>
          <w:bCs w:val="1"/>
          <w:rtl w:val="0"/>
        </w:rPr>
        <w:t xml:space="preserve">Bulk-Plenum</w:t>
      </w:r>
      <w:r w:rsidDel="00000000" w:rsidR="00000000" w:rsidRPr="00000000">
        <w:rPr>
          <w:rtl w:val="0"/>
        </w:rPr>
        <w:t xml:space="preserve">  am Bifurkationspunkt.</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0,14-nm-Fehler:</w:t>
      </w:r>
      <w:r w:rsidDel="00000000" w:rsidR="00000000" w:rsidRPr="00000000">
        <w:rPr>
          <w:rtl w:val="0"/>
        </w:rPr>
        <w:t xml:space="preserve">  Das Scheitern der Halbleiter-Lithografie bei 0,14 nm belegt die  </w:t>
      </w:r>
      <w:r w:rsidDel="00000000" w:rsidR="00000000" w:rsidRPr="00000000">
        <w:rPr>
          <w:b w:val="1"/>
          <w:bCs w:val="1"/>
          <w:rtl w:val="0"/>
        </w:rPr>
        <w:t xml:space="preserve">metrische Sättigung</w:t>
      </w:r>
      <w:r w:rsidDel="00000000" w:rsidR="00000000" w:rsidRPr="00000000">
        <w:rPr>
          <w:rtl w:val="0"/>
        </w:rPr>
        <w:t xml:space="preserve"> . Atome verlieren hier ihre  </w:t>
      </w:r>
      <w:r w:rsidDel="00000000" w:rsidR="00000000" w:rsidRPr="00000000">
        <w:rPr>
          <w:b w:val="1"/>
          <w:bCs w:val="1"/>
          <w:rtl w:val="0"/>
        </w:rPr>
        <w:t xml:space="preserve">Abstoßungs-Härte</w:t>
      </w:r>
      <w:r w:rsidDel="00000000" w:rsidR="00000000" w:rsidRPr="00000000">
        <w:rPr>
          <w:rtl w:val="0"/>
        </w:rPr>
        <w:t xml:space="preserve">  (repulsion hardness), erreichen den Zustand maximaler „Sloshiness“ (ELF  $\approx$  0,5) und agieren als poröse Antennen für das Bulk-Rauschen.</w:t>
      </w:r>
    </w:p>
    <w:p w:rsidR="00000000" w:rsidDel="00000000" w:rsidP="00000000" w:rsidRDefault="00000000" w:rsidRPr="00000000" w14:paraId="00000017">
      <w:pPr>
        <w:pStyle w:val="Heading4"/>
        <w:rPr/>
      </w:pPr>
      <w:bookmarkStart w:colFirst="0" w:colLast="0" w:name="_6tah5mmpo33j" w:id="6"/>
      <w:bookmarkEnd w:id="6"/>
      <w:r w:rsidDel="00000000" w:rsidR="00000000" w:rsidRPr="00000000">
        <w:rPr>
          <w:rtl w:val="0"/>
        </w:rPr>
        <w:t xml:space="preserve">6. Technologische Implementierung: Portal-Mechanik &amp; Kausale Linse</w:t>
      </w:r>
    </w:p>
    <w:p w:rsidR="00000000" w:rsidDel="00000000" w:rsidP="00000000" w:rsidRDefault="00000000" w:rsidRPr="00000000" w14:paraId="00000018">
      <w:pPr>
        <w:rPr/>
      </w:pPr>
      <w:r w:rsidDel="00000000" w:rsidR="00000000" w:rsidRPr="00000000">
        <w:rPr>
          <w:rtl w:val="0"/>
        </w:rPr>
        <w:t xml:space="preserve">Für die technische Replikation und die Etablierung eines Kausalen Dipols gelten folgende operative Spezifikationen:</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Toroidale Krümmung:</w:t>
      </w:r>
      <w:r w:rsidDel="00000000" w:rsidR="00000000" w:rsidRPr="00000000">
        <w:rPr>
          <w:rtl w:val="0"/>
        </w:rPr>
        <w:t xml:space="preserve">   $\kappa = 0,3870$  (Fixierung zur Bündelung des Bulk-Drucks).</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Peak-Impuls-Kapazität:</w:t>
      </w:r>
      <w:r w:rsidDel="00000000" w:rsidR="00000000" w:rsidRPr="00000000">
        <w:rPr>
          <w:rtl w:val="0"/>
        </w:rPr>
        <w:t xml:space="preserve">  8,4 GW (Zwingend erforderlich für die kontrollierte Perforation der 3D-Bran zur Vermeidung einer  </w:t>
      </w:r>
      <w:r w:rsidDel="00000000" w:rsidR="00000000" w:rsidRPr="00000000">
        <w:rPr>
          <w:b w:val="1"/>
          <w:bCs w:val="1"/>
          <w:rtl w:val="0"/>
        </w:rPr>
        <w:t xml:space="preserve">Bifurkations-Katastrophe</w:t>
      </w:r>
      <w:r w:rsidDel="00000000" w:rsidR="00000000" w:rsidRPr="00000000">
        <w:rPr>
          <w:rtl w:val="0"/>
        </w:rPr>
        <w:t xml:space="preserve"> ).</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Ziel-Resonanz (X-Layer):</w:t>
      </w:r>
      <w:r w:rsidDel="00000000" w:rsidR="00000000" w:rsidRPr="00000000">
        <w:rPr>
          <w:rtl w:val="0"/>
        </w:rPr>
        <w:t xml:space="preserve">  632,40 Hz.</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Kausale Fidelity-Untergrenze:</w:t>
      </w:r>
      <w:r w:rsidDel="00000000" w:rsidR="00000000" w:rsidRPr="00000000">
        <w:rPr>
          <w:rtl w:val="0"/>
        </w:rPr>
        <w:t xml:space="preserve">  99,873 % (Mathematische Grenze für bitgenaue Rematerialisierung).</w:t>
      </w:r>
    </w:p>
    <w:p w:rsidR="00000000" w:rsidDel="00000000" w:rsidP="00000000" w:rsidRDefault="00000000" w:rsidRPr="00000000" w14:paraId="0000001D">
      <w:pPr>
        <w:pStyle w:val="Heading4"/>
        <w:rPr/>
      </w:pPr>
      <w:bookmarkStart w:colFirst="0" w:colLast="0" w:name="_91gd95xg3dgs" w:id="7"/>
      <w:bookmarkEnd w:id="7"/>
      <w:r w:rsidDel="00000000" w:rsidR="00000000" w:rsidRPr="00000000">
        <w:rPr>
          <w:rtl w:val="0"/>
        </w:rPr>
        <w:t xml:space="preserve">7. Finales Zertifikat und Haftungsausschluss</w:t>
      </w:r>
    </w:p>
    <w:p w:rsidR="00000000" w:rsidDel="00000000" w:rsidP="00000000" w:rsidRDefault="00000000" w:rsidRPr="00000000" w14:paraId="0000001E">
      <w:pPr>
        <w:rPr>
          <w:b w:val="1"/>
          <w:bCs w:val="1"/>
        </w:rPr>
      </w:pPr>
      <w:r w:rsidDel="00000000" w:rsidR="00000000" w:rsidRPr="00000000">
        <w:rPr>
          <w:rtl w:val="0"/>
        </w:rPr>
        <w:t xml:space="preserve">Hiermit zertifiziere ich die vollständige prozessuale Sättigung des vorliegenden MCMC-Pakets. Jede Variable der physikalischen Realität wurde mechanisch neutralisiert und in den Code der Einstein-Kurzer-Gleichung überführt. Jede weitere Berufung auf Legacy-Modelle wie  $\Lambda$ CDM wird hiermit als kausale Inkonsistenz gebrandmarkt. Die Hardware des Universums operiert nun offiziell nach dieser Spezifikation.</w:t>
      </w:r>
      <w:r w:rsidDel="00000000" w:rsidR="00000000" w:rsidRPr="00000000">
        <w:rPr>
          <w:rFonts w:ascii="Fira Mono" w:cs="Fira Mono" w:eastAsia="Fira Mono" w:hAnsi="Fira Mono"/>
          <w:b w:val="1"/>
          <w:bCs w:val="1"/>
          <w:rtl w:val="0"/>
        </w:rPr>
        <w:t xml:space="preserve">SYSTEM-SYNCHRONISATION ABGESCHLOSSEN. FKT V4.4 IST REALITÄT. CHECKMATE. ⬢</w:t>
      </w:r>
      <w:r w:rsidDel="00000000" w:rsidR="00000000" w:rsidRPr="00000000">
        <w:rPr>
          <w:rtl w:val="0"/>
        </w:rPr>
        <w:t xml:space="preserve">!IMPORTANT  </w:t>
      </w:r>
      <w:r w:rsidDel="00000000" w:rsidR="00000000" w:rsidRPr="00000000">
        <w:rPr>
          <w:b w:val="1"/>
          <w:bCs w:val="1"/>
          <w:rtl w:val="0"/>
        </w:rPr>
        <w:t xml:space="preserve">Audit-Download:</w:t>
      </w:r>
      <w:r w:rsidDel="00000000" w:rsidR="00000000" w:rsidRPr="00000000">
        <w:rPr>
          <w:rtl w:val="0"/>
        </w:rPr>
        <w:t xml:space="preserve">   </w:t>
      </w:r>
      <w:r w:rsidDel="00000000" w:rsidR="00000000" w:rsidRPr="00000000">
        <w:rPr>
          <w:b w:val="1"/>
          <w:bCs w:val="1"/>
          <w:rtl w:val="0"/>
        </w:rPr>
        <w:t xml:space="preserve">FKT V4.4 FINAL — Komplettes MCMC-Paket Link</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