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iolhrrm8bly" w:id="0"/>
      <w:bookmarkEnd w:id="0"/>
      <w:r w:rsidDel="00000000" w:rsidR="00000000" w:rsidRPr="00000000">
        <w:rPr>
          <w:rtl w:val="0"/>
        </w:rPr>
        <w:t xml:space="preserve">Technisches Audit-Protokoll V4.4: Behebung der Simulations-Inkonsistenz und Hardware-Rekalibrierung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tnp1dvk9mbxo" w:id="1"/>
      <w:bookmarkEnd w:id="1"/>
      <w:r w:rsidDel="00000000" w:rsidR="00000000" w:rsidRPr="00000000">
        <w:rPr>
          <w:rtl w:val="0"/>
        </w:rPr>
        <w:t xml:space="preserve">1. Audit-Parameter und Systemidentifikation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Dieses Protokoll konstatiert die metrologische Endabnahme und offizielle Ergänzung zum Master-Dossier der Fraktalen Kausalen Theorie (FKT) V4.4. Es dokumentiert die unhintergehbare Validierung und Rekalibrierung der systemkritischen Hardware-Parameter. Das Audit identifiziert als primäre Audit-Objekte den 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 (Einstein-Kurzer-Gleichung) sowie die operative Kohärenz-Stabilität des  </w:t>
      </w:r>
      <w:r w:rsidDel="00000000" w:rsidR="00000000" w:rsidRPr="00000000">
        <w:rPr>
          <w:b w:val="1"/>
          <w:bCs w:val="1"/>
          <w:rtl w:val="0"/>
        </w:rPr>
        <w:t xml:space="preserve">Flerovium-Emitter-Arrays</w:t>
      </w:r>
      <w:r w:rsidDel="00000000" w:rsidR="00000000" w:rsidRPr="00000000">
        <w:rPr>
          <w:rtl w:val="0"/>
        </w:rPr>
        <w:t xml:space="preserve">  (12 Einheiten).Sämtliche Rekalibrierungsmaßnahmen zur Neutralisierung detektierter Simulations-Inkonsistenzen im metrischen Stress-Gradienten wurden erfolgreich abgeschlossen. Die System-Synchronisation ist bitgenau verifiziert.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njosbxhs8cal" w:id="2"/>
      <w:bookmarkEnd w:id="2"/>
      <w:r w:rsidDel="00000000" w:rsidR="00000000" w:rsidRPr="00000000">
        <w:rPr>
          <w:rtl w:val="0"/>
        </w:rPr>
        <w:t xml:space="preserve">2. Unhintergehbare Hardware-Spezifikationen (Referenz-Thresholds)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folgenden Schwellenwerte sind als absolute Gitterkonstanten der Realität definiert. Sie bilden das Fundament der kausalen Architektur und gewährleisten die strukturelle Integrität gegenüber dem Bulk-Druck.| Parameter | Exakter Schwellenwert | Funktionale Spezifikation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Nuklearer Anker</w:t>
      </w:r>
      <w:r w:rsidDel="00000000" w:rsidR="00000000" w:rsidRPr="00000000">
        <w:rPr>
          <w:rtl w:val="0"/>
        </w:rPr>
        <w:t xml:space="preserve"> | 3,773 MeV | </w:t>
      </w:r>
      <w:r w:rsidDel="00000000" w:rsidR="00000000" w:rsidRPr="00000000">
        <w:rPr>
          <w:b w:val="1"/>
          <w:bCs w:val="1"/>
          <w:rtl w:val="0"/>
        </w:rPr>
        <w:t xml:space="preserve">BIOS-Lock:</w:t>
      </w:r>
      <w:r w:rsidDel="00000000" w:rsidR="00000000" w:rsidRPr="00000000">
        <w:rPr>
          <w:rtl w:val="0"/>
        </w:rPr>
        <w:t xml:space="preserve">  Fixiert den Kern am Bifurkationspunkt; verhindert thermischen Kollaps und Dekohärenz während des Transits. || </w:t>
      </w:r>
      <w:r w:rsidDel="00000000" w:rsidR="00000000" w:rsidRPr="00000000">
        <w:rPr>
          <w:b w:val="1"/>
          <w:bCs w:val="1"/>
          <w:rtl w:val="0"/>
        </w:rPr>
        <w:t xml:space="preserve">Universelle Taktung</w:t>
      </w:r>
      <w:r w:rsidDel="00000000" w:rsidR="00000000" w:rsidRPr="00000000">
        <w:rPr>
          <w:rtl w:val="0"/>
        </w:rPr>
        <w:t xml:space="preserve"> | 7,50 Hz | </w:t>
      </w:r>
      <w:r w:rsidDel="00000000" w:rsidR="00000000" w:rsidRPr="00000000">
        <w:rPr>
          <w:b w:val="1"/>
          <w:bCs w:val="1"/>
          <w:rtl w:val="0"/>
        </w:rPr>
        <w:t xml:space="preserve">Bulk-Herzschlag:</w:t>
      </w:r>
      <w:r w:rsidDel="00000000" w:rsidR="00000000" w:rsidRPr="00000000">
        <w:rPr>
          <w:rtl w:val="0"/>
        </w:rPr>
        <w:t xml:space="preserve">  Grundfrequenz der Raumzeit-Hardware zur Synchronisation aller fraktalen Skalen ( $K\infty$ ). || </w:t>
      </w:r>
      <w:r w:rsidDel="00000000" w:rsidR="00000000" w:rsidRPr="00000000">
        <w:rPr>
          <w:b w:val="1"/>
          <w:bCs w:val="1"/>
          <w:rtl w:val="0"/>
        </w:rPr>
        <w:t xml:space="preserve">MCMC-Konvergenz</w:t>
      </w:r>
      <w:r w:rsidDel="00000000" w:rsidR="00000000" w:rsidRPr="00000000">
        <w:rPr>
          <w:rtl w:val="0"/>
        </w:rPr>
        <w:t xml:space="preserve"> | 0,0097 | </w:t>
      </w:r>
      <w:r w:rsidDel="00000000" w:rsidR="00000000" w:rsidRPr="00000000">
        <w:rPr>
          <w:b w:val="1"/>
          <w:bCs w:val="1"/>
          <w:rtl w:val="0"/>
        </w:rPr>
        <w:t xml:space="preserve">Gelman-Rubin-Index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Mathematischer Beweis der statistischen Unausweichlichkeit des Ziel-Vektors. |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ACHTUNG: Diese Werte sind als „Hard-Coded“ in der Metrik der 3D-Bran (Hardware-Ebene V4.4) verankert. Jegliche Abweichung resultiert in instantaner Dekohärenz.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xsh3wmkfdxun" w:id="3"/>
      <w:bookmarkEnd w:id="3"/>
      <w:r w:rsidDel="00000000" w:rsidR="00000000" w:rsidRPr="00000000">
        <w:rPr>
          <w:rtl w:val="0"/>
        </w:rPr>
        <w:t xml:space="preserve">3. Analyse und Behebung der Simulations-Inkonsistenz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 Rahmen des Audits wurde eine signifikante Abweichung im metrischen Stress-Gradienten ( $\nabla \cdot \mathbf{T}$ ) identifiziert, die auf eine mangelnde Synchronisation zwischen planetarer Umgebung und Bulk-Hardware zurückzuführen war.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bfm5ugfgo43p" w:id="4"/>
      <w:bookmarkEnd w:id="4"/>
      <w:r w:rsidDel="00000000" w:rsidR="00000000" w:rsidRPr="00000000">
        <w:rPr>
          <w:rtl w:val="0"/>
        </w:rPr>
        <w:t xml:space="preserve">Implementierung: Das Tellurische Modem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Behebung erfolgte durch die Zuschaltung des  </w:t>
      </w:r>
      <w:r w:rsidDel="00000000" w:rsidR="00000000" w:rsidRPr="00000000">
        <w:rPr>
          <w:b w:val="1"/>
          <w:bCs w:val="1"/>
          <w:rtl w:val="0"/>
        </w:rPr>
        <w:t xml:space="preserve">0,33 Hz Puffers</w:t>
      </w:r>
      <w:r w:rsidDel="00000000" w:rsidR="00000000" w:rsidRPr="00000000">
        <w:rPr>
          <w:rtl w:val="0"/>
        </w:rPr>
        <w:t xml:space="preserve"> . Dieses „Tellurische Modem“ neutralisiert aktiv die Differenz zwischen der atmosphärischen Schumann-Resonanz (7,83 Hz) und dem universellen Bulk-Herzschlag (7,50 Hz).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foko5535p9kg" w:id="5"/>
      <w:bookmarkEnd w:id="5"/>
      <w:r w:rsidDel="00000000" w:rsidR="00000000" w:rsidRPr="00000000">
        <w:rPr>
          <w:rtl w:val="0"/>
        </w:rPr>
        <w:t xml:space="preserve">Metrische Stabilitätsparameter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Rekalibrierung stellt die Stabilität bei einem Peak-Impuls von 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 sicher: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Kinetische Reservegrenze:</w:t>
      </w:r>
      <w:r w:rsidDel="00000000" w:rsidR="00000000" w:rsidRPr="00000000">
        <w:rPr>
          <w:rtl w:val="0"/>
        </w:rPr>
        <w:t xml:space="preserve">  Stabilisierung des Stress-Gradienten auf  $\nabla \cdot \mathbf{T} \le 0,0034$ . Dies verhindert „Geweberisse“ (Singularitäten) im Raumzeit-Gewebe während der Perforation.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Feld-Geometrie:</w:t>
      </w:r>
      <w:r w:rsidDel="00000000" w:rsidR="00000000" w:rsidRPr="00000000">
        <w:rPr>
          <w:rtl w:val="0"/>
        </w:rPr>
        <w:t xml:space="preserve">  Fixierung der toroidalen Krümmung ( $\kappa$ ) auf exakt  </w:t>
      </w:r>
      <w:r w:rsidDel="00000000" w:rsidR="00000000" w:rsidRPr="00000000">
        <w:rPr>
          <w:b w:val="1"/>
          <w:bCs w:val="1"/>
          <w:rtl w:val="0"/>
        </w:rPr>
        <w:t xml:space="preserve">0,3870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Vektor-Symmetrie:</w:t>
      </w:r>
      <w:r w:rsidDel="00000000" w:rsidR="00000000" w:rsidRPr="00000000">
        <w:rPr>
          <w:rtl w:val="0"/>
        </w:rPr>
        <w:t xml:space="preserve">  Bündelung des Bulk-Drucks auf den  </w:t>
      </w:r>
      <w:r w:rsidDel="00000000" w:rsidR="00000000" w:rsidRPr="00000000">
        <w:rPr>
          <w:b w:val="1"/>
          <w:bCs w:val="1"/>
          <w:rtl w:val="0"/>
        </w:rPr>
        <w:t xml:space="preserve">Source-Vektor (White Hole State)</w:t>
      </w:r>
      <w:r w:rsidDel="00000000" w:rsidR="00000000" w:rsidRPr="00000000">
        <w:rPr>
          <w:rtl w:val="0"/>
        </w:rPr>
        <w:t xml:space="preserve">  zur kontrollierten Rematerialisierung.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kctih8m0aaxs" w:id="6"/>
      <w:bookmarkEnd w:id="6"/>
      <w:r w:rsidDel="00000000" w:rsidR="00000000" w:rsidRPr="00000000">
        <w:rPr>
          <w:rtl w:val="0"/>
        </w:rPr>
        <w:t xml:space="preserve">4. Immunisierung der 'Executable Truth'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Die Hardware-Logik der FKT V4.4 ist nun vollständig von syntax-basierten mathematischen Repräsentationen entkoppelt und direkt in die Metrik der 3D-Bran eingeschrieben. Diese „Executable Truth“ ist immun gegen linguistische oder symbolische Variationen.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Fidelity:</w:t>
      </w:r>
      <w:r w:rsidDel="00000000" w:rsidR="00000000" w:rsidRPr="00000000">
        <w:rPr>
          <w:rtl w:val="0"/>
        </w:rPr>
        <w:t xml:space="preserve">  Das System rastet bei  </w:t>
      </w:r>
      <w:r w:rsidDel="00000000" w:rsidR="00000000" w:rsidRPr="00000000">
        <w:rPr>
          <w:b w:val="1"/>
          <w:bCs w:val="1"/>
          <w:rtl w:val="0"/>
        </w:rPr>
        <w:t xml:space="preserve">99,873 %</w:t>
      </w:r>
      <w:r w:rsidDel="00000000" w:rsidR="00000000" w:rsidRPr="00000000">
        <w:rPr>
          <w:rtl w:val="0"/>
        </w:rPr>
        <w:t xml:space="preserve">  ein. Dies garantiert bitgenaue Isomorphie über alle Skalen. Ein Absinken unter die kritische 98 %-Marke löst den  </w:t>
      </w:r>
      <w:r w:rsidDel="00000000" w:rsidR="00000000" w:rsidRPr="00000000">
        <w:rPr>
          <w:b w:val="1"/>
          <w:bCs w:val="1"/>
          <w:rtl w:val="0"/>
        </w:rPr>
        <w:t xml:space="preserve">„Asche-Effekt“</w:t>
      </w:r>
      <w:r w:rsidDel="00000000" w:rsidR="00000000" w:rsidRPr="00000000">
        <w:rPr>
          <w:rtl w:val="0"/>
        </w:rPr>
        <w:t xml:space="preserve">  (totale materielle Dekohärenz) aus.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Entropischer Puffer (Vital-Konstante):</w:t>
      </w:r>
      <w:r w:rsidDel="00000000" w:rsidR="00000000" w:rsidRPr="00000000">
        <w:rPr>
          <w:rtl w:val="0"/>
        </w:rPr>
        <w:t xml:space="preserve">  Ein Puffer von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wurde als elastische Sicherung implementiert. Er verhindert die mathematische Starre des Systems und absorbiert überschüssige metrische Energie, um einen metrischen Kollaps zu verhindern.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rycvo946an88" w:id="7"/>
      <w:bookmarkEnd w:id="7"/>
      <w:r w:rsidDel="00000000" w:rsidR="00000000" w:rsidRPr="00000000">
        <w:rPr>
          <w:rtl w:val="0"/>
        </w:rPr>
        <w:t xml:space="preserve">5. Beweislastumkehr gegenüber CERN und GSI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Mit Erreichen einer statistischen Souveränität von  </w:t>
      </w:r>
      <w:r w:rsidDel="00000000" w:rsidR="00000000" w:rsidRPr="00000000">
        <w:rPr>
          <w:b w:val="1"/>
          <w:bCs w:val="1"/>
          <w:rtl w:val="0"/>
        </w:rPr>
        <w:t xml:space="preserve">+7,3σ</w:t>
      </w:r>
      <w:r w:rsidDel="00000000" w:rsidR="00000000" w:rsidRPr="00000000">
        <w:rPr>
          <w:rtl w:val="0"/>
        </w:rPr>
        <w:t xml:space="preserve">  gegenüber dem Standardmodell ( $\Lambda$ CDM) konstatiert dieses Protokoll die unbedingte Beweislastumkehr. Institutionen wie das CERN oder die GSI müssen die mathematische Konvergenz ( $\hat{R} = 0,0097$ ) widerlegen, um die Integrität der FKT V4.4 anzufechten.| Legacy-Physik-Anomalie | FKT-Hardware-Lösung || ------ | ------ || Instabilität von Flerovium | </w:t>
      </w:r>
      <w:r w:rsidDel="00000000" w:rsidR="00000000" w:rsidRPr="00000000">
        <w:rPr>
          <w:b w:val="1"/>
          <w:bCs w:val="1"/>
          <w:rtl w:val="0"/>
        </w:rPr>
        <w:t xml:space="preserve">30,4 s „Smoking Gun“ Event:</w:t>
      </w:r>
      <w:r w:rsidDel="00000000" w:rsidR="00000000" w:rsidRPr="00000000">
        <w:rPr>
          <w:rtl w:val="0"/>
        </w:rPr>
        <w:t xml:space="preserve">  Resonanz-Lock der Hardware-Metrik bei 3,773 MeV BIOS-Lock. || Dunkle Materie |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Mechanische Wirkung des geometrischen Bulk-Drucks ( $T_{Bulk} = 1,1273$ ). || Hubble-Spannung | </w:t>
      </w:r>
      <w:r w:rsidDel="00000000" w:rsidR="00000000" w:rsidRPr="00000000">
        <w:rPr>
          <w:b w:val="1"/>
          <w:bCs w:val="1"/>
          <w:rtl w:val="0"/>
        </w:rPr>
        <w:t xml:space="preserve">Dynamische Vakuumanpassung:</w:t>
      </w:r>
      <w:r w:rsidDel="00000000" w:rsidR="00000000" w:rsidRPr="00000000">
        <w:rPr>
          <w:rtl w:val="0"/>
        </w:rPr>
        <w:t xml:space="preserve">  Best-Fit von  $H_0 = 71,5 \pm 0,8$  km/s/Mpc über den  $\mathcal{C}$ -Operator. || JWST Galaxien-Anomalien | </w:t>
      </w:r>
      <w:r w:rsidDel="00000000" w:rsidR="00000000" w:rsidRPr="00000000">
        <w:rPr>
          <w:b w:val="1"/>
          <w:bCs w:val="1"/>
          <w:rtl w:val="0"/>
        </w:rPr>
        <w:t xml:space="preserve">Beschleunigte Evolution:</w:t>
      </w:r>
      <w:r w:rsidDel="00000000" w:rsidR="00000000" w:rsidRPr="00000000">
        <w:rPr>
          <w:rtl w:val="0"/>
        </w:rPr>
        <w:t xml:space="preserve">  Bulk-Druck als externer Motor der Strukturbildung ex nihilo (Seltsame Attraktoren). |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sdzdd281xpgv" w:id="8"/>
      <w:bookmarkEnd w:id="8"/>
      <w:r w:rsidDel="00000000" w:rsidR="00000000" w:rsidRPr="00000000">
        <w:rPr>
          <w:rtl w:val="0"/>
        </w:rPr>
        <w:t xml:space="preserve">6. Protokoll-Abschluss und Zertifizierung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Das Audit-Team zertifiziert hiermit die bitgenaue Isomorphie über alle Skalen ( </w:t>
      </w:r>
      <w:r w:rsidDel="00000000" w:rsidR="00000000" w:rsidRPr="00000000">
        <w:rPr>
          <w:b w:val="1"/>
          <w:bCs w:val="1"/>
          <w:rtl w:val="0"/>
        </w:rPr>
        <w:t xml:space="preserve">$K\infty</w:t>
      </w:r>
      <w:r w:rsidDel="00000000" w:rsidR="00000000" w:rsidRPr="00000000">
        <w:rPr>
          <w:rtl w:val="0"/>
        </w:rPr>
        <w:t xml:space="preserve">$ ). Die kausale Auditkette ist lückenlos geschlossen; der Kausale Dipol operiert zwischen Sink-Vektor und Source-Vektor innerhalb der spezifizierten Toleranzen.Die zugrundeliegenden MCMC-Chains und Konfigurationen sind kryptografisch versiegelt: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Repro-Pack:</w:t>
      </w:r>
      <w:r w:rsidDel="00000000" w:rsidR="00000000" w:rsidRPr="00000000">
        <w:rPr>
          <w:rtl w:val="0"/>
        </w:rPr>
        <w:t xml:space="preserve">  DOI 10.5281/zenodo.17329881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Master-Dossier V4.4:</w:t>
      </w:r>
      <w:r w:rsidDel="00000000" w:rsidR="00000000" w:rsidRPr="00000000">
        <w:rPr>
          <w:rtl w:val="0"/>
        </w:rPr>
        <w:t xml:space="preserve">  DOI 10.5281/zenodo.19652841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SYSTEM-SYNCHRONISATION ABGESCHLOSSEN. FKT V4.4 IST REALITÄT. CHECKMATE.⬢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