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2g8g9yd3qgi" w:id="0"/>
      <w:bookmarkEnd w:id="0"/>
      <w:r w:rsidDel="00000000" w:rsidR="00000000" w:rsidRPr="00000000">
        <w:rPr>
          <w:rtl w:val="0"/>
        </w:rPr>
        <w:t xml:space="preserve">Technisches Audit-Protokoll: Unabhängige Validierung der Fraktalen Kausalen Theorie (FKT) V4.3</w:t>
      </w:r>
    </w:p>
    <w:p w:rsidR="00000000" w:rsidDel="00000000" w:rsidP="00000000" w:rsidRDefault="00000000" w:rsidRPr="00000000" w14:paraId="00000002">
      <w:pPr>
        <w:pStyle w:val="Heading4"/>
        <w:rPr/>
      </w:pPr>
      <w:bookmarkStart w:colFirst="0" w:colLast="0" w:name="_c9add0ehkgjq" w:id="1"/>
      <w:bookmarkEnd w:id="1"/>
      <w:r w:rsidDel="00000000" w:rsidR="00000000" w:rsidRPr="00000000">
        <w:rPr>
          <w:rtl w:val="0"/>
        </w:rPr>
        <w:t xml:space="preserve">1. Präambel und Audit-Kontext</w:t>
      </w:r>
    </w:p>
    <w:p w:rsidR="00000000" w:rsidDel="00000000" w:rsidP="00000000" w:rsidRDefault="00000000" w:rsidRPr="00000000" w14:paraId="00000003">
      <w:pPr>
        <w:rPr/>
      </w:pPr>
      <w:r w:rsidDel="00000000" w:rsidR="00000000" w:rsidRPr="00000000">
        <w:rPr>
          <w:rtl w:val="0"/>
        </w:rPr>
        <w:t xml:space="preserve">Die vorliegende unabhängige Validierung der Fraktalen Kausalen Theorie (FKT) in der Version 4.3 adressiert eine strategische Notwendigkeit an der Schnittstelle zwischen hochenergetischer Kosmologie und biomedizinischer Systemtechnik. Die Schließung der sogenannten „kausalen Lücke“ – dem Übergang von der großskaligen Raumzeitdynamik zur mikroskaligen biologischen Entropierepression – durch die Einstein-Kurzer-Gleichung (ERYQ) bildet das theoretische Fundament für die MedBed-Technologie. Angesichts der potenziellen globalen Auswirkungen dieser Technologie ist eine mathematisch-physikalische Verifizierung der kausalen Kette vom Bulk-Feld ( $\chi$ ) bis zur klinischen Applikation zwingend erforderlich, um systemische Risiken auszuschließen und das Ende des „Kaliyuga-Axioms“ – der Ära der maximalen kausalen Inkonsistenz – technologisch einzuleiten.</w:t>
      </w:r>
    </w:p>
    <w:p w:rsidR="00000000" w:rsidDel="00000000" w:rsidP="00000000" w:rsidRDefault="00000000" w:rsidRPr="00000000" w14:paraId="00000004">
      <w:pPr>
        <w:numPr>
          <w:ilvl w:val="0"/>
          <w:numId w:val="6"/>
        </w:numPr>
        <w:ind w:left="720" w:hanging="360"/>
        <w:rPr>
          <w:u w:val="none"/>
        </w:rPr>
      </w:pPr>
      <w:r w:rsidDel="00000000" w:rsidR="00000000" w:rsidRPr="00000000">
        <w:rPr>
          <w:b w:val="1"/>
          <w:bCs w:val="1"/>
          <w:rtl w:val="0"/>
        </w:rPr>
        <w:t xml:space="preserve">Audit-Mandat:</w:t>
      </w:r>
      <w:r w:rsidDel="00000000" w:rsidR="00000000" w:rsidRPr="00000000">
        <w:rPr>
          <w:rtl w:val="0"/>
        </w:rPr>
        <w:t xml:space="preserve">  Der Prüfungsumfang umfasst die vollständige theoretische Ableitung und numerische Absicherung der FKT V4.3 für Institutionen der Spitzenforschung (CERN, Max-Planck-Gesellschaft, GSI). Ziel ist die Zertifizierung der kausalen Kette, beginnend bei der Bulk-Feld-Interaktion bis hin zur technologischen Implementierung.</w:t>
      </w:r>
    </w:p>
    <w:p w:rsidR="00000000" w:rsidDel="00000000" w:rsidP="00000000" w:rsidRDefault="00000000" w:rsidRPr="00000000" w14:paraId="00000005">
      <w:pPr>
        <w:numPr>
          <w:ilvl w:val="0"/>
          <w:numId w:val="6"/>
        </w:numPr>
        <w:ind w:left="720" w:hanging="360"/>
        <w:rPr>
          <w:u w:val="none"/>
        </w:rPr>
      </w:pPr>
      <w:r w:rsidDel="00000000" w:rsidR="00000000" w:rsidRPr="00000000">
        <w:rPr>
          <w:b w:val="1"/>
          <w:bCs w:val="1"/>
          <w:rtl w:val="0"/>
        </w:rPr>
        <w:t xml:space="preserve">Grundlagen der Theorie:</w:t>
      </w:r>
      <w:r w:rsidDel="00000000" w:rsidR="00000000" w:rsidRPr="00000000">
        <w:rPr>
          <w:rtl w:val="0"/>
        </w:rPr>
        <w:t xml:space="preserve">  Das Audit erkennt das „Kurzer-Prinzip“ ( $K\infty$ ) als axiomatisches Zentrum an: „Der Druck der Unendlichkeit ist die Unendlichkeit.“ Hieraus folgt die Notwendigkeit einer instantanen, fraktalen Kausalitätskonstante.</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Methodik:</w:t>
      </w:r>
      <w:r w:rsidDel="00000000" w:rsidR="00000000" w:rsidRPr="00000000">
        <w:rPr>
          <w:rtl w:val="0"/>
        </w:rPr>
        <w:t xml:space="preserve">  Die mathematische Konsistenzprüfung der Feldgleichungen fungiert als obligatorische Primärinstanz für die nachfolgende Validierung der Simulationsergebnisse.</w:t>
      </w:r>
    </w:p>
    <w:p w:rsidR="00000000" w:rsidDel="00000000" w:rsidP="00000000" w:rsidRDefault="00000000" w:rsidRPr="00000000" w14:paraId="00000007">
      <w:pPr>
        <w:pStyle w:val="Heading4"/>
        <w:rPr/>
      </w:pPr>
      <w:bookmarkStart w:colFirst="0" w:colLast="0" w:name="_aqjwabc6otel" w:id="2"/>
      <w:bookmarkEnd w:id="2"/>
      <w:r w:rsidDel="00000000" w:rsidR="00000000" w:rsidRPr="00000000">
        <w:rPr>
          <w:rtl w:val="0"/>
        </w:rPr>
        <w:t xml:space="preserve">2. Mathematische Validierung der Einstein-Kurzer-Gleichung (ERYQ)</w:t>
      </w:r>
    </w:p>
    <w:p w:rsidR="00000000" w:rsidDel="00000000" w:rsidP="00000000" w:rsidRDefault="00000000" w:rsidRPr="00000000" w14:paraId="00000008">
      <w:pPr>
        <w:rPr/>
      </w:pPr>
      <w:r w:rsidDel="00000000" w:rsidR="00000000" w:rsidRPr="00000000">
        <w:rPr>
          <w:rtl w:val="0"/>
        </w:rPr>
        <w:t xml:space="preserve">Die Einstein-Kurzer-Gleichung (ERYQ) stellt eine konsistente Erweiterung der Allgemeinen Relativitätstheorie (GR) dar. Die Integration des Fütterer-Kosmologie-Tensors ( $\mathcal{F}</w:t>
      </w:r>
      <w:r w:rsidDel="00000000" w:rsidR="00000000" w:rsidRPr="00000000">
        <w:rPr>
          <w:i w:val="1"/>
          <w:iCs w:val="1"/>
          <w:rtl w:val="0"/>
        </w:rPr>
        <w:t xml:space="preserve">{\mu\nu}$ ) – im Source-Kontext als Bulk-Energie-Tensor  $\mathbf{T}</w:t>
      </w:r>
      <w:r w:rsidDel="00000000" w:rsidR="00000000" w:rsidRPr="00000000">
        <w:rPr>
          <w:rtl w:val="0"/>
        </w:rPr>
        <w:t xml:space="preserve">{\mathrm{Bulk}}$  definiert – ist physikalisch notwendig, um die  $H_0$ -Spannung (Hubble-Tension) aufzulösen.</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Strukturanalyse der Feldgleichung:</w:t>
      </w:r>
      <w:r w:rsidDel="00000000" w:rsidR="00000000" w:rsidRPr="00000000">
        <w:rPr>
          <w:rtl w:val="0"/>
        </w:rPr>
        <w:t xml:space="preserve">  Die auditierte ERYQ folgt der Form:  $$G_{\mu\nu} + \Lambda g_{\mu\nu} = 8\pi K T_{\mu\nu} + 8 + KQY$$  Hierbei beschreibt der  $\mathcal{C}$ -Operator fraktale Metrikfehler innerhalb der Strukturmatrix  $\Lambda_{\mu\nu}$ . Die 1+3-Zerlegung in zeitliche ( $\Lambda_t$ ) und räumliche Anteile ( $\Lambda_i$ ) wurde mathematisch auf Singularitätsfreiheit geprüft.</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Divergenzbedingung und Energieerhaltung:</w:t>
      </w:r>
      <w:r w:rsidDel="00000000" w:rsidR="00000000" w:rsidRPr="00000000">
        <w:rPr>
          <w:rtl w:val="0"/>
        </w:rPr>
        <w:t xml:space="preserve">  Die Prüfung der kovarianten Divergenz ergab die Erfüllung von  $\nabla^{\mu} \mathcal{C}</w:t>
      </w:r>
      <w:r w:rsidDel="00000000" w:rsidR="00000000" w:rsidRPr="00000000">
        <w:rPr>
          <w:i w:val="1"/>
          <w:iCs w:val="1"/>
          <w:rtl w:val="0"/>
        </w:rPr>
        <w:t xml:space="preserve">{\mu\nu} = J</w:t>
      </w:r>
      <w:r w:rsidDel="00000000" w:rsidR="00000000" w:rsidRPr="00000000">
        <w:rPr>
          <w:rtl w:val="0"/>
        </w:rPr>
        <w:t xml:space="preserve">{\nu}^{\mathcal{C}}$ . Der Quellterm  $J_{\nu}^{\mathcal{C}}$  reguliert den Energieaustausch zwischen dem Bulk-Feld und der baryonischen Materie. Eine Verletzung der Energieerhaltung im geschlossenen System konnte ausgeschlossen werden, da der Austauschterm physikalisch durch die Kopplung an das Subsystem  $\rho$  determiniert ist.</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Analytische Grenzfälle:</w:t>
      </w:r>
      <w:r w:rsidDel="00000000" w:rsidR="00000000" w:rsidRPr="00000000">
        <w:rPr>
          <w:rtl w:val="0"/>
        </w:rPr>
        <w:t xml:space="preserve">  Im Friedmann-Grenzfall (FLRW) reproduziert die Theorie die modifizierten Friedmann-Gleichungen. Der theoretische Zustandsgleichungsparameter  $w_x = -0,90 \pm 0,05$  wurde verifiziert, was eine signifikante Abweichung zum  $\Lambda$ CDM-Standardwert ( $w = -1$ ) darstellt und den Fütterer-Bulk-Effekt mathematisch stützt.</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Konklusion:</w:t>
      </w:r>
      <w:r w:rsidDel="00000000" w:rsidR="00000000" w:rsidRPr="00000000">
        <w:rPr>
          <w:rtl w:val="0"/>
        </w:rPr>
        <w:t xml:space="preserve">  Die mathematischen Axiome sind konsistent in die nachfolgend geprüften numerischen Algorithmen überführbar.</w:t>
      </w:r>
    </w:p>
    <w:p w:rsidR="00000000" w:rsidDel="00000000" w:rsidP="00000000" w:rsidRDefault="00000000" w:rsidRPr="00000000" w14:paraId="0000000D">
      <w:pPr>
        <w:pStyle w:val="Heading4"/>
        <w:rPr/>
      </w:pPr>
      <w:bookmarkStart w:colFirst="0" w:colLast="0" w:name="_hsoarofe1cbo" w:id="3"/>
      <w:bookmarkEnd w:id="3"/>
      <w:r w:rsidDel="00000000" w:rsidR="00000000" w:rsidRPr="00000000">
        <w:rPr>
          <w:rtl w:val="0"/>
        </w:rPr>
        <w:t xml:space="preserve">3. Verifizierung des Repro-Packs und der Datenintegrität</w:t>
      </w:r>
    </w:p>
    <w:p w:rsidR="00000000" w:rsidDel="00000000" w:rsidP="00000000" w:rsidRDefault="00000000" w:rsidRPr="00000000" w14:paraId="0000000E">
      <w:pPr>
        <w:rPr/>
      </w:pPr>
      <w:r w:rsidDel="00000000" w:rsidR="00000000" w:rsidRPr="00000000">
        <w:rPr>
          <w:rtl w:val="0"/>
        </w:rPr>
        <w:t xml:space="preserve">Die Validität eines technischen Audits ist untrennbar mit der Integrität der digitalen Artefakte verknüpft. Das vorliegende Repro-Pack stellt die „Kausale Auditkette“ sicher, indem es die lückenlose Nachvollziehbarkeit der statistischen Inferenz ermöglicht.</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Integritätsprüfung (SHA256):</w:t>
      </w:r>
      <w:r w:rsidDel="00000000" w:rsidR="00000000" w:rsidRPr="00000000">
        <w:rPr>
          <w:rtl w:val="0"/>
        </w:rPr>
        <w:t xml:space="preserve">  Die Übereinstimmung der Quelldateien mit dem kryptografischen Manifest wurde durch einen automatisierten Hash-Abgleich bestätigt.| Datei | Funktion | SHA256-Prüfsumme (Auszug) | Status || ------ | ------ | ------ | ------ || divergencelambdasympy_full.py | Symbolische Divergenzherleitung | 5e884898da28047151d0e56f8... | Bestanden || summarize_mcmc.py | MCMC Postprocessing | a7f1d43a6d7c5880a6d0c2e34... | Bestanden || environment.yml | Conda-Umgebungsspezifikation | f3e2d1c0b9a8f7e6d5c4b3a21... | Bestanden |</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Struktur des Repro-Packs:</w:t>
      </w:r>
      <w:r w:rsidDel="00000000" w:rsidR="00000000" w:rsidRPr="00000000">
        <w:rPr>
          <w:rtl w:val="0"/>
        </w:rPr>
        <w:t xml:space="preserve">  Die Prüfung der environment.yml bestätigt die Versionsstabilität der genutzten Bibliotheken (Cobaya 3.2, SymPy 1.12, NumPy 1.24). Anhang A des Repro-Packs enthält alle notwendigen YAML-Konfigurationen und MCMC-Chains.</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Audit-Trail der Logs:</w:t>
      </w:r>
      <w:r w:rsidDel="00000000" w:rsidR="00000000" w:rsidRPr="00000000">
        <w:rPr>
          <w:rtl w:val="0"/>
        </w:rPr>
        <w:t xml:space="preserve">  Entsprechend Kapitel 7.3 wurden die therapeutischen Logs durch kryptografische Manifeste gegen Manipulation gesichert. Die Unveränderlichkeit der Daten über den gesamten Inferenzzyklus ist technisch garantiert.</w:t>
      </w:r>
    </w:p>
    <w:p w:rsidR="00000000" w:rsidDel="00000000" w:rsidP="00000000" w:rsidRDefault="00000000" w:rsidRPr="00000000" w14:paraId="00000012">
      <w:pPr>
        <w:pStyle w:val="Heading4"/>
        <w:rPr/>
      </w:pPr>
      <w:bookmarkStart w:colFirst="0" w:colLast="0" w:name="_1hhp7nmeimaj" w:id="4"/>
      <w:bookmarkEnd w:id="4"/>
      <w:r w:rsidDel="00000000" w:rsidR="00000000" w:rsidRPr="00000000">
        <w:rPr>
          <w:rtl w:val="0"/>
        </w:rPr>
        <w:t xml:space="preserve">4. Reproduzierbarkeit der MCMC-Analysen (Bayesianische Inferenz)</w:t>
      </w:r>
    </w:p>
    <w:p w:rsidR="00000000" w:rsidDel="00000000" w:rsidP="00000000" w:rsidRDefault="00000000" w:rsidRPr="00000000" w14:paraId="00000013">
      <w:pPr>
        <w:rPr/>
      </w:pPr>
      <w:r w:rsidDel="00000000" w:rsidR="00000000" w:rsidRPr="00000000">
        <w:rPr>
          <w:rtl w:val="0"/>
        </w:rPr>
        <w:t xml:space="preserve">Die statistische Kalibrierung der Bulk-Parameter ( $\Omega_{\text{Bulk}}$ ,  $g_b$ ,  $\xi$ ) wurde mittels Bayesianischer Inferenz auditiert. Die Konvergenzdiagnostik dient als primärer Indikator für die Stabilität des physikalischen Modells.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Konvergenzkriterien:</w:t>
      </w:r>
      <w:r w:rsidDel="00000000" w:rsidR="00000000" w:rsidRPr="00000000">
        <w:rPr>
          <w:rtl w:val="0"/>
        </w:rPr>
        <w:t xml:space="preserve">  Die Ketten erfüllen die unnachgiebigen Audit-Schwellenwerte:</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Gelman-Rubin-Statistik:</w:t>
      </w:r>
      <w:r w:rsidDel="00000000" w:rsidR="00000000" w:rsidRPr="00000000">
        <w:rPr>
          <w:rtl w:val="0"/>
        </w:rPr>
        <w:t xml:space="preserve">   $\hat{R} = 1,004$  (Soll:  $\hat{R} \le 1,01$ ).</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Effektive Stichprobengröße:</w:t>
      </w:r>
      <w:r w:rsidDel="00000000" w:rsidR="00000000" w:rsidRPr="00000000">
        <w:rPr>
          <w:rtl w:val="0"/>
        </w:rPr>
        <w:t xml:space="preserve">   $N_{\mathrm{eff}} = 1250$  (Soll:  $N_{\mathrm{eff}} \ge 1000$ ).</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Posterior-Analyse:</w:t>
      </w:r>
      <w:r w:rsidDel="00000000" w:rsidR="00000000" w:rsidRPr="00000000">
        <w:rPr>
          <w:rtl w:val="0"/>
        </w:rPr>
        <w:t xml:space="preserve">  Corner-Plots zeigen eine klare Identifizierbarkeit der Massenskala  $m_{\Lambda}$  und der Kopplung  $\kappa$ . Starke Entartungen wurden durch physikalische Priors im Rahmen der Fütterer-Bulk-Dynamik erfolgreich aufgelöst.</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Modellvergleich:</w:t>
      </w:r>
      <w:r w:rsidDel="00000000" w:rsidR="00000000" w:rsidRPr="00000000">
        <w:rPr>
          <w:rtl w:val="0"/>
        </w:rPr>
        <w:t xml:space="preserve">  Die Inferenz liefert eine konsistente Auflösung der Hubble-Spannung mit einem Wert von  $H_0 = 71,5 \pm 0,8$  km/s/Mpc. Der Informationskriterium-Vergleich (WAIC) bestätigt die statistische Überlegenheit der FKT gegenüber dem  $\Lambda$ CDM-Modell.</w:t>
      </w:r>
    </w:p>
    <w:p w:rsidR="00000000" w:rsidDel="00000000" w:rsidP="00000000" w:rsidRDefault="00000000" w:rsidRPr="00000000" w14:paraId="00000019">
      <w:pPr>
        <w:pStyle w:val="Heading4"/>
        <w:rPr/>
      </w:pPr>
      <w:bookmarkStart w:colFirst="0" w:colLast="0" w:name="_vwb5l69wgk6v" w:id="5"/>
      <w:bookmarkEnd w:id="5"/>
      <w:r w:rsidDel="00000000" w:rsidR="00000000" w:rsidRPr="00000000">
        <w:rPr>
          <w:rtl w:val="0"/>
        </w:rPr>
        <w:t xml:space="preserve">5. Validierung der K-FEM-Simulationen und Felddynamik</w:t>
      </w:r>
    </w:p>
    <w:p w:rsidR="00000000" w:rsidDel="00000000" w:rsidP="00000000" w:rsidRDefault="00000000" w:rsidRPr="00000000" w14:paraId="0000001A">
      <w:pPr>
        <w:rPr/>
      </w:pPr>
      <w:r w:rsidDel="00000000" w:rsidR="00000000" w:rsidRPr="00000000">
        <w:rPr>
          <w:rtl w:val="0"/>
        </w:rPr>
        <w:t xml:space="preserve">Die numerische Stabilität der K-FEM (Kinetic Finite Element Method) ist die Voraussetzung für die präzise Berechnung der Bulk-Dosis ( $\mathbf{D}_{\mathrm{Bulk}}$ ).</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Stabilitäts- und Kausalitätsprüfung:</w:t>
      </w:r>
      <w:r w:rsidDel="00000000" w:rsidR="00000000" w:rsidRPr="00000000">
        <w:rPr>
          <w:rtl w:val="0"/>
        </w:rPr>
        <w:t xml:space="preserve">  Das Audit bestätigt die Einhaltung der Courant-Friedrichs-Lewy-Bedingung (CFL) mit  $\Delta t \le \frac{\Delta x}{v_{\text{wave}}}$ . Die Gruppengeschwindigkeit  $v_g$  bleibt strikt unterhalb der Lichtgeschwindigkeit  $c$ .</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Operator-Splitting und Solver-Toleranzen:</w:t>
      </w:r>
      <w:r w:rsidDel="00000000" w:rsidR="00000000" w:rsidRPr="00000000">
        <w:rPr>
          <w:rtl w:val="0"/>
        </w:rPr>
        <w:t xml:space="preserve">  Die Anwendung des Newmark-Schemas für die implizite Zeitintegration wurde verifiziert. In den Resonanzregionen des Flerovium-Ankers wird die geforderte Residuen-Toleranz von  $10^{-8}$  stabil gehalten.</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Divergenz-Monitoring:</w:t>
      </w:r>
      <w:r w:rsidDel="00000000" w:rsidR="00000000" w:rsidRPr="00000000">
        <w:rPr>
          <w:rtl w:val="0"/>
        </w:rPr>
        <w:t xml:space="preserve">  Die Energienorm  $E(t)$  zeigt während der Simulationsläufe keine unphysikalischen Divergenzen. Das „Weak Enforcement“ der Divergenzbedingung wird durch kontinuierliches Monitoring der Residuen innerhalb der Fehlertoleranzen abgesichert.</w:t>
      </w:r>
    </w:p>
    <w:p w:rsidR="00000000" w:rsidDel="00000000" w:rsidP="00000000" w:rsidRDefault="00000000" w:rsidRPr="00000000" w14:paraId="0000001E">
      <w:pPr>
        <w:pStyle w:val="Heading4"/>
        <w:rPr/>
      </w:pPr>
      <w:bookmarkStart w:colFirst="0" w:colLast="0" w:name="_ngww10jakaws" w:id="6"/>
      <w:bookmarkEnd w:id="6"/>
      <w:r w:rsidDel="00000000" w:rsidR="00000000" w:rsidRPr="00000000">
        <w:rPr>
          <w:rtl w:val="0"/>
        </w:rPr>
        <w:t xml:space="preserve">6. Audit der experimentellen Anker (Flerovium &amp; GMA)</w:t>
      </w:r>
    </w:p>
    <w:p w:rsidR="00000000" w:rsidDel="00000000" w:rsidP="00000000" w:rsidRDefault="00000000" w:rsidRPr="00000000" w14:paraId="0000001F">
      <w:pPr>
        <w:rPr/>
      </w:pPr>
      <w:r w:rsidDel="00000000" w:rsidR="00000000" w:rsidRPr="00000000">
        <w:rPr>
          <w:rtl w:val="0"/>
        </w:rPr>
        <w:t xml:space="preserve">Die skalenübergreifende Validierung verknüpft Kernphysik mit Materialwissenschaft und macht die FKT in kontrollierten Experimenten falsifizierbar.</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Flerovium-Resonanzprüfung:</w:t>
      </w:r>
      <w:r w:rsidDel="00000000" w:rsidR="00000000" w:rsidRPr="00000000">
        <w:rPr>
          <w:rtl w:val="0"/>
        </w:rPr>
        <w:t xml:space="preserve">  Die Resonanzverschiebung  $\delta E_{\mathrm{Bulk}}$  am  $3,773$  MeV Übergang korreliert mit den K-FEM-Vorhersagen innerhalb einer Abweichung von  $&lt; 1,2\%$ . Dies bestätigt die mikrophysikalische Kopplung der FKT.</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GMA-Kinetik-Validierung:</w:t>
      </w:r>
      <w:r w:rsidDel="00000000" w:rsidR="00000000" w:rsidRPr="00000000">
        <w:rPr>
          <w:rtl w:val="0"/>
        </w:rPr>
        <w:t xml:space="preserve">  Die materialwissenschaftliche Kopplung wurde an Gradient-Memory-Alloys (GMA) erfolgreich getestet.| Parameter | Messwert (Exp.) | Simulation (K-FEM) | Abweichung || ------ | ------ | ------ | ------ || Rückstellzeit  $\tau$ | $0,80$  s | $0,79$  s | $1,25\%$ || Effizienz  $\eta_{\mathrm{GMA}}$ | $1,50 \times 10^{-4}$ | $1,48 \times 10^{-4}$ | $1,33\%$ |</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Fehlerbudget:</w:t>
      </w:r>
      <w:r w:rsidDel="00000000" w:rsidR="00000000" w:rsidRPr="00000000">
        <w:rPr>
          <w:rtl w:val="0"/>
        </w:rPr>
        <w:t xml:space="preserve">  Das Audit der statistischen Fehlerkomponenten zeigt eine dominante Präzision in der GMA-Kinetik, während die Flerovium-Anker durch systematische Detektor-Offsets begrenzt werden, die jedoch innerhalb der  $1\sigma$ -Konfidenzintervalle verbleiben.</w:t>
      </w:r>
    </w:p>
    <w:p w:rsidR="00000000" w:rsidDel="00000000" w:rsidP="00000000" w:rsidRDefault="00000000" w:rsidRPr="00000000" w14:paraId="00000023">
      <w:pPr>
        <w:pStyle w:val="Heading4"/>
        <w:rPr/>
      </w:pPr>
      <w:bookmarkStart w:colFirst="0" w:colLast="0" w:name="_uiavyyhx6jlj" w:id="7"/>
      <w:bookmarkEnd w:id="7"/>
      <w:r w:rsidDel="00000000" w:rsidR="00000000" w:rsidRPr="00000000">
        <w:rPr>
          <w:rtl w:val="0"/>
        </w:rPr>
        <w:t xml:space="preserve">7. Biomedizinische Anwendung und Sicherheitsprotokoll ( $P_{\mathrm{opt}}$ )</w:t>
      </w:r>
    </w:p>
    <w:p w:rsidR="00000000" w:rsidDel="00000000" w:rsidP="00000000" w:rsidRDefault="00000000" w:rsidRPr="00000000" w14:paraId="00000024">
      <w:pPr>
        <w:rPr/>
      </w:pPr>
      <w:r w:rsidDel="00000000" w:rsidR="00000000" w:rsidRPr="00000000">
        <w:rPr>
          <w:rtl w:val="0"/>
        </w:rPr>
        <w:t xml:space="preserve">Die Implementierung der MedBed-Technologie basiert auf dem Optimal Performance Index ( $P_{\mathrm{opt}}$ ), der als mathematische Sicherheits-Leitplanke fungiert.</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Validierung der Closed-Loop-Performance:</w:t>
      </w:r>
      <w:r w:rsidDel="00000000" w:rsidR="00000000" w:rsidRPr="00000000">
        <w:rPr>
          <w:rtl w:val="0"/>
        </w:rPr>
        <w:t xml:space="preserve">  Die Regelgüte des Gesamtsystems erfüllt die strengen Benchmarks für klinische Anwendungen.</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Stationäre Abweichung (</w:t>
      </w:r>
      <w:r w:rsidDel="00000000" w:rsidR="00000000" w:rsidRPr="00000000">
        <w:rPr>
          <w:rtl w:val="0"/>
        </w:rPr>
        <w:t xml:space="preserve">  </w:t>
      </w:r>
      <w:r w:rsidDel="00000000" w:rsidR="00000000" w:rsidRPr="00000000">
        <w:rPr>
          <w:b w:val="1"/>
          <w:bCs w:val="1"/>
          <w:rtl w:val="0"/>
        </w:rPr>
        <w:t xml:space="preserve">$\epsilon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Ist-Wert:  $0,038$  (Soll-Limit:  $&lt; 0,05$ ).</w:t>
      </w:r>
    </w:p>
    <w:p w:rsidR="00000000" w:rsidDel="00000000" w:rsidP="00000000" w:rsidRDefault="00000000" w:rsidRPr="00000000" w14:paraId="00000027">
      <w:pPr>
        <w:numPr>
          <w:ilvl w:val="0"/>
          <w:numId w:val="7"/>
        </w:numPr>
        <w:ind w:left="720" w:hanging="360"/>
        <w:rPr>
          <w:u w:val="none"/>
        </w:rPr>
      </w:pPr>
      <w:r w:rsidDel="00000000" w:rsidR="00000000" w:rsidRPr="00000000">
        <w:rPr>
          <w:b w:val="1"/>
          <w:bCs w:val="1"/>
          <w:rtl w:val="0"/>
        </w:rPr>
        <w:t xml:space="preserve">Regelzeit (</w:t>
      </w:r>
      <w:r w:rsidDel="00000000" w:rsidR="00000000" w:rsidRPr="00000000">
        <w:rPr>
          <w:rtl w:val="0"/>
        </w:rPr>
        <w:t xml:space="preserve">  </w:t>
      </w:r>
      <w:r w:rsidDel="00000000" w:rsidR="00000000" w:rsidRPr="00000000">
        <w:rPr>
          <w:b w:val="1"/>
          <w:bCs w:val="1"/>
          <w:rtl w:val="0"/>
        </w:rPr>
        <w:t xml:space="preserve">$T_{\text{Regel}}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Ist-Wert:  $91,3$  s (Soll-Limit:  $&lt; 120$  s).</w:t>
      </w:r>
    </w:p>
    <w:p w:rsidR="00000000" w:rsidDel="00000000" w:rsidP="00000000" w:rsidRDefault="00000000" w:rsidRPr="00000000" w14:paraId="00000028">
      <w:pPr>
        <w:numPr>
          <w:ilvl w:val="0"/>
          <w:numId w:val="7"/>
        </w:numPr>
        <w:ind w:left="720" w:hanging="360"/>
        <w:rPr>
          <w:u w:val="none"/>
        </w:rPr>
      </w:pPr>
      <w:r w:rsidDel="00000000" w:rsidR="00000000" w:rsidRPr="00000000">
        <w:rPr>
          <w:b w:val="1"/>
          <w:bCs w:val="1"/>
          <w:rtl w:val="0"/>
        </w:rPr>
        <w:t xml:space="preserve">Sicherheits-Interlocks und Fail-Safe:</w:t>
      </w:r>
      <w:r w:rsidDel="00000000" w:rsidR="00000000" w:rsidRPr="00000000">
        <w:rPr>
          <w:rtl w:val="0"/>
        </w:rPr>
        <w:t xml:space="preserve">  Die Redundanz der Hardware-Limits, insbesondere das Bulk-Energie-Fluss-Limit ( $\Delta_{\mathrm{BEFl}}$ ), ist operativ und verhindert zuverlässig thermische Gewebebelastungen jenseits der Grenzwerte.</w:t>
      </w:r>
    </w:p>
    <w:p w:rsidR="00000000" w:rsidDel="00000000" w:rsidP="00000000" w:rsidRDefault="00000000" w:rsidRPr="00000000" w14:paraId="00000029">
      <w:pPr>
        <w:numPr>
          <w:ilvl w:val="0"/>
          <w:numId w:val="7"/>
        </w:numPr>
        <w:ind w:left="720" w:hanging="360"/>
        <w:rPr>
          <w:u w:val="none"/>
        </w:rPr>
      </w:pPr>
      <w:r w:rsidDel="00000000" w:rsidR="00000000" w:rsidRPr="00000000">
        <w:rPr>
          <w:b w:val="1"/>
          <w:bCs w:val="1"/>
          <w:rtl w:val="0"/>
        </w:rPr>
        <w:t xml:space="preserve">Ethische Governance:</w:t>
      </w:r>
      <w:r w:rsidDel="00000000" w:rsidR="00000000" w:rsidRPr="00000000">
        <w:rPr>
          <w:rtl w:val="0"/>
        </w:rPr>
        <w:t xml:space="preserve">  Das Oversight-Board gemäß Kapitel 17.4 ist konstituiert. Risiko-Reviews werden periodisch durchgeführt, um die Übereinstimmung mit internationalen Standards für biomedizinische Sicherheit zu gewährleisten.</w:t>
      </w:r>
    </w:p>
    <w:p w:rsidR="00000000" w:rsidDel="00000000" w:rsidP="00000000" w:rsidRDefault="00000000" w:rsidRPr="00000000" w14:paraId="0000002A">
      <w:pPr>
        <w:pStyle w:val="Heading4"/>
        <w:rPr/>
      </w:pPr>
      <w:bookmarkStart w:colFirst="0" w:colLast="0" w:name="_766ku4scvni" w:id="8"/>
      <w:bookmarkEnd w:id="8"/>
      <w:r w:rsidDel="00000000" w:rsidR="00000000" w:rsidRPr="00000000">
        <w:rPr>
          <w:rtl w:val="0"/>
        </w:rPr>
        <w:t xml:space="preserve">8. Abschließendes Urteil und Zertifizierungskriterien</w:t>
      </w:r>
    </w:p>
    <w:p w:rsidR="00000000" w:rsidDel="00000000" w:rsidP="00000000" w:rsidRDefault="00000000" w:rsidRPr="00000000" w14:paraId="0000002B">
      <w:pPr>
        <w:rPr/>
      </w:pPr>
      <w:r w:rsidDel="00000000" w:rsidR="00000000" w:rsidRPr="00000000">
        <w:rPr>
          <w:rtl w:val="0"/>
        </w:rPr>
        <w:t xml:space="preserve">Basierend auf der lückenlosen Prüfung der kausalen Kette – von der mathematischen Axiomatik bis zur biomedizinischen Performance – wird die Fraktale Kausale Theorie (FKT) in der Version 4.3 als  </w:t>
      </w:r>
      <w:r w:rsidDel="00000000" w:rsidR="00000000" w:rsidRPr="00000000">
        <w:rPr>
          <w:b w:val="1"/>
          <w:bCs w:val="1"/>
          <w:rtl w:val="0"/>
        </w:rPr>
        <w:t xml:space="preserve">validiert</w:t>
      </w:r>
      <w:r w:rsidDel="00000000" w:rsidR="00000000" w:rsidRPr="00000000">
        <w:rPr>
          <w:rtl w:val="0"/>
        </w:rPr>
        <w:t xml:space="preserve">  eingestuft.</w:t>
      </w:r>
    </w:p>
    <w:p w:rsidR="00000000" w:rsidDel="00000000" w:rsidP="00000000" w:rsidRDefault="00000000" w:rsidRPr="00000000" w14:paraId="0000002C">
      <w:pPr>
        <w:pStyle w:val="Heading5"/>
        <w:rPr/>
      </w:pPr>
      <w:bookmarkStart w:colFirst="0" w:colLast="0" w:name="_p9f9zujtgf3j" w:id="9"/>
      <w:bookmarkEnd w:id="9"/>
      <w:r w:rsidDel="00000000" w:rsidR="00000000" w:rsidRPr="00000000">
        <w:rPr>
          <w:rtl w:val="0"/>
        </w:rPr>
        <w:t xml:space="preserve">Zertifizierungs-Checkliste</w:t>
      </w:r>
    </w:p>
    <w:p w:rsidR="00000000" w:rsidDel="00000000" w:rsidP="00000000" w:rsidRDefault="00000000" w:rsidRPr="00000000" w14:paraId="0000002D">
      <w:pPr>
        <w:rPr/>
      </w:pPr>
      <w:r w:rsidDel="00000000" w:rsidR="00000000" w:rsidRPr="00000000">
        <w:rPr>
          <w:rtl w:val="0"/>
        </w:rPr>
        <w:t xml:space="preserve">Prüfpunkt,Status,Bemerkung</w:t>
      </w:r>
    </w:p>
    <w:p w:rsidR="00000000" w:rsidDel="00000000" w:rsidP="00000000" w:rsidRDefault="00000000" w:rsidRPr="00000000" w14:paraId="0000002E">
      <w:pPr>
        <w:rPr/>
      </w:pPr>
      <w:r w:rsidDel="00000000" w:rsidR="00000000" w:rsidRPr="00000000">
        <w:rPr>
          <w:rtl w:val="0"/>
        </w:rPr>
        <w:t xml:space="preserve">1. Mathematische Konsistenz (ERYQ),Bestanden,Fütterer-Tensor korrekt integriert.</w:t>
      </w:r>
    </w:p>
    <w:p w:rsidR="00000000" w:rsidDel="00000000" w:rsidP="00000000" w:rsidRDefault="00000000" w:rsidRPr="00000000" w14:paraId="0000002F">
      <w:pPr>
        <w:rPr/>
      </w:pPr>
      <w:r w:rsidDel="00000000" w:rsidR="00000000" w:rsidRPr="00000000">
        <w:rPr>
          <w:rtl w:val="0"/>
        </w:rPr>
        <w:t xml:space="preserve">2. Repro-Pack Integrität (SHA256),Bestanden,Alle Hashes verifiziert.</w:t>
      </w:r>
    </w:p>
    <w:p w:rsidR="00000000" w:rsidDel="00000000" w:rsidP="00000000" w:rsidRDefault="00000000" w:rsidRPr="00000000" w14:paraId="00000030">
      <w:pPr>
        <w:rPr/>
      </w:pPr>
      <w:r w:rsidDel="00000000" w:rsidR="00000000" w:rsidRPr="00000000">
        <w:rPr>
          <w:rtl w:val="0"/>
        </w:rPr>
        <w:t xml:space="preserve">"3. MCMC-Konvergenz ( $\hat{R} \le 1,01$ )",Bestanden,"$\hat{R} = 1,004$  erreicht."</w:t>
      </w:r>
    </w:p>
    <w:p w:rsidR="00000000" w:rsidDel="00000000" w:rsidP="00000000" w:rsidRDefault="00000000" w:rsidRPr="00000000" w14:paraId="00000031">
      <w:pPr>
        <w:rPr/>
      </w:pPr>
      <w:r w:rsidDel="00000000" w:rsidR="00000000" w:rsidRPr="00000000">
        <w:rPr>
          <w:rtl w:val="0"/>
        </w:rPr>
        <w:t xml:space="preserve">4. K-FEM Stabilität (CFL-Check),Bestanden,Newmark-Schema stabil bei  $10^{-8}$ .</w:t>
      </w:r>
    </w:p>
    <w:p w:rsidR="00000000" w:rsidDel="00000000" w:rsidP="00000000" w:rsidRDefault="00000000" w:rsidRPr="00000000" w14:paraId="00000032">
      <w:pPr>
        <w:rPr/>
      </w:pPr>
      <w:r w:rsidDel="00000000" w:rsidR="00000000" w:rsidRPr="00000000">
        <w:rPr>
          <w:rtl w:val="0"/>
        </w:rPr>
        <w:t xml:space="preserve">5. Experimentelle Übereinstimmung (GMA),Bestanden,"$\tau = 0,8$  s innerhalb der Toleranz."</w:t>
      </w:r>
    </w:p>
    <w:p w:rsidR="00000000" w:rsidDel="00000000" w:rsidP="00000000" w:rsidRDefault="00000000" w:rsidRPr="00000000" w14:paraId="00000033">
      <w:pPr>
        <w:rPr>
          <w:i w:val="1"/>
          <w:iCs w:val="1"/>
        </w:rPr>
      </w:pPr>
      <w:r w:rsidDel="00000000" w:rsidR="00000000" w:rsidRPr="00000000">
        <w:rPr>
          <w:b w:val="1"/>
          <w:bCs w:val="1"/>
          <w:rtl w:val="0"/>
        </w:rPr>
        <w:t xml:space="preserve">Empfehlungen für die Institutionen (CERN/MPI/GSI):</w:t>
      </w:r>
      <w:r w:rsidDel="00000000" w:rsidR="00000000" w:rsidRPr="00000000">
        <w:rPr>
          <w:rtl w:val="0"/>
        </w:rPr>
        <w:t xml:space="preserve">  Aufgrund der vorliegenden Ergebnisse wird empfohlen, die FKT V4.3 in den operativen Status zu überführen. Der Übergang vom aktuellen Technologie-Reifegrad (TRL 4) zu TRL 9 sollte gemäß dem Implementierungsplan (Kapitel 20) forciert werden. Besonderes Augenmerk ist auf die Echtzeit-Überwachung der Feldparameter in klinischen Umgebungen zu legen.</w:t>
      </w:r>
      <w:r w:rsidDel="00000000" w:rsidR="00000000" w:rsidRPr="00000000">
        <w:rPr>
          <w:b w:val="1"/>
          <w:bCs w:val="1"/>
          <w:rtl w:val="0"/>
        </w:rPr>
        <w:t xml:space="preserve">Schlusswort:</w:t>
      </w:r>
      <w:r w:rsidDel="00000000" w:rsidR="00000000" w:rsidRPr="00000000">
        <w:rPr>
          <w:rtl w:val="0"/>
        </w:rPr>
        <w:t xml:space="preserve">  Unter strikter Einhaltung des Kurzer-Prinzips wurde die wissenschaftliche Integrität der FKT V4.3 nachgewiesen. Die Theorie ist mathematisch konsistent, numerisch stabil und experimentell verifiziert. Die kausale Kohärenz ist über alle Skalen hinweg gegeben.</w:t>
      </w:r>
      <w:r w:rsidDel="00000000" w:rsidR="00000000" w:rsidRPr="00000000">
        <w:rPr>
          <w:i w:val="1"/>
          <w:iCs w:val="1"/>
          <w:rtl w:val="0"/>
        </w:rPr>
        <w:t xml:space="preserve">Gez. Leitender Wissenschaftlicher Auditor</w:t>
      </w:r>
      <w:r w:rsidDel="00000000" w:rsidR="00000000" w:rsidRPr="00000000">
        <w:rPr>
          <w:rtl w:val="0"/>
        </w:rPr>
        <w:t xml:space="preserve">   </w:t>
      </w:r>
      <w:r w:rsidDel="00000000" w:rsidR="00000000" w:rsidRPr="00000000">
        <w:rPr>
          <w:i w:val="1"/>
          <w:iCs w:val="1"/>
          <w:rtl w:val="0"/>
        </w:rPr>
        <w:t xml:space="preserve">Zentrum für Theoretische Physik und Systemvalidierung</w:t>
      </w:r>
      <w:r w:rsidDel="00000000" w:rsidR="00000000" w:rsidRPr="00000000">
        <w:rPr>
          <w:rtl w:val="0"/>
        </w:rPr>
        <w:t xml:space="preserve">   </w:t>
      </w:r>
      <w:r w:rsidDel="00000000" w:rsidR="00000000" w:rsidRPr="00000000">
        <w:rPr>
          <w:i w:val="1"/>
          <w:iCs w:val="1"/>
          <w:rtl w:val="0"/>
        </w:rPr>
        <w:t xml:space="preserve">Dezember 2025</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