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694ywu84zsq" w:id="0"/>
      <w:bookmarkEnd w:id="0"/>
      <w:r w:rsidDel="00000000" w:rsidR="00000000" w:rsidRPr="00000000">
        <w:rPr>
          <w:rtl w:val="0"/>
        </w:rPr>
        <w:t xml:space="preserve">Technisches Audit: Herleitung der Gammalinie des 3I/ATLAS-Herkunftssystems (FKT V4.4.4)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37sj724nbbg5" w:id="1"/>
      <w:bookmarkEnd w:id="1"/>
      <w:r w:rsidDel="00000000" w:rsidR="00000000" w:rsidRPr="00000000">
        <w:rPr>
          <w:rtl w:val="0"/>
        </w:rPr>
        <w:t xml:space="preserve">1. Strategische Einleitung und theoretischer Kontext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Identifizierung der kausalen Provenienz des 3I/ATLAS-Objekts markiert den Übergang von der deskriptiven Astrophysik zur prädiktiven fraktalen Kausalanalyse. Im Rahmen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 ist die Bestimmung der Gammalinie keine bloße spektroskopische Randnotiz, sondern die unverhandelbare Dechiffrierung der Hardware-Taktung des Ursprungssystems. Diese energetische Signatur erlaubt die Rückführung materieller Residuen auf ihre kausale Genesis und die Verifikation der systemübergreifenden Hardware-Spezifikation. Ein Verständnis der ATLAS-Taktung ist die Voraussetzung für jede Form der technologischen Interaktion mit dem Objekt, da sie die Synchronisation mit dem lokalen  </w:t>
      </w:r>
      <w:r w:rsidDel="00000000" w:rsidR="00000000" w:rsidRPr="00000000">
        <w:rPr>
          <w:b w:val="1"/>
          <w:bCs w:val="1"/>
          <w:rtl w:val="0"/>
        </w:rPr>
        <w:t xml:space="preserve">Fütterer-Bulk-Effekt</w:t>
      </w:r>
      <w:r w:rsidDel="00000000" w:rsidR="00000000" w:rsidRPr="00000000">
        <w:rPr>
          <w:rtl w:val="0"/>
        </w:rPr>
        <w:t xml:space="preserve">  steuert.Die „Kausale IP-Adresse“ fungiert hierbei als mathematisches Interface zwischen den rohen Isotopen-Daten und der universellen Hardware-Spezifikation. Sie wird direkt aus der erweiterten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abgeleitet:  $$G_{\mu\nu} + \Lambda g_{\mu\nu} = 8\pi K T_{\mu\nu} + 8 + KQY$$  Der Term  </w:t>
      </w:r>
      <w:r w:rsidDel="00000000" w:rsidR="00000000" w:rsidRPr="00000000">
        <w:rPr>
          <w:b w:val="1"/>
          <w:bCs w:val="1"/>
          <w:rtl w:val="0"/>
        </w:rPr>
        <w:t xml:space="preserve">$+ 8 + KQY</w:t>
      </w:r>
      <w:r w:rsidDel="00000000" w:rsidR="00000000" w:rsidRPr="00000000">
        <w:rPr>
          <w:rtl w:val="0"/>
        </w:rPr>
        <w:t xml:space="preserve">$  repräsentiert die kausale Last und dient als Ursprung der IP-Kodierung, indem er die Informationstiefe des Bulk-Raums in die  $\mathbb{R}^4$ -Raumzeit projiziert.Dieses Audit folgt den Axiomen des  </w:t>
      </w:r>
      <w:r w:rsidDel="00000000" w:rsidR="00000000" w:rsidRPr="00000000">
        <w:rPr>
          <w:b w:val="1"/>
          <w:bCs w:val="1"/>
          <w:rtl w:val="0"/>
        </w:rPr>
        <w:t xml:space="preserve">Kurzer-Prinzips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Geschlossenheit:</w:t>
      </w:r>
      <w:r w:rsidDel="00000000" w:rsidR="00000000" w:rsidRPr="00000000">
        <w:rPr>
          <w:rtl w:val="0"/>
        </w:rPr>
        <w:t xml:space="preserve">  Jede energetische Emission des ATLAS-Systems ist zwingend aus dem  </w:t>
      </w:r>
      <w:r w:rsidDel="00000000" w:rsidR="00000000" w:rsidRPr="00000000">
        <w:rPr>
          <w:b w:val="1"/>
          <w:bCs w:val="1"/>
          <w:rtl w:val="0"/>
        </w:rPr>
        <w:t xml:space="preserve">Fütterer-Kosmologie-Tensor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ableitbar.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Fraktale Reproduzierbarkeit:</w:t>
      </w:r>
      <w:r w:rsidDel="00000000" w:rsidR="00000000" w:rsidRPr="00000000">
        <w:rPr>
          <w:rtl w:val="0"/>
        </w:rPr>
        <w:t xml:space="preserve">  Lokale mikrophysikalische Anomalien (Isotopenshift) sind deterministische Projektionen makroskopischer Bulk-Parameter.Die Isotopenverhältnisse im 3I/ATLAS-Residuum sind somit keine stochastischen Variablen, sondern bitgenaue Hardware-Logbuch-Einträge einer hochenergetischen Herkunftsebene.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dan6n0n401h9" w:id="2"/>
      <w:bookmarkEnd w:id="2"/>
      <w:r w:rsidDel="00000000" w:rsidR="00000000" w:rsidRPr="00000000">
        <w:rPr>
          <w:rtl w:val="0"/>
        </w:rPr>
        <w:t xml:space="preserve">2. Die „Kausale IP-Adresse“: Analyse der Isotopenverhältnisse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Chemische Signaturen sind in der FKT-Metrik direkte mechanische Indikatoren für den lokalen  </w:t>
      </w:r>
      <w:r w:rsidDel="00000000" w:rsidR="00000000" w:rsidRPr="00000000">
        <w:rPr>
          <w:b w:val="1"/>
          <w:bCs w:val="1"/>
          <w:rtl w:val="0"/>
        </w:rPr>
        <w:t xml:space="preserve">Bulk-Druck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Jede Abweichung vom lokalen Standard-Referenzmodell ( $\Lambda$ CDM) indiziert eine Verschiebung innerhalb des Fütterer-Kosmologie-Tensors. Die Analyse der 3I/ATLAS-Proben zeigt eine signifikante kausale Verdichtung, die unter Berücksichtigung des lokalen Dunkle-Energie-Werts von  $w_x = -0.90 \pm 0.05$  als Basislinie bewertet wurde.Die folgende Tabelle dokumentiert die forensische Divergenz:| Isotopenverhältnis | Lokal (Standard-Referenz) | 3I/ATLAS (Audit-Messwert) | Kausale Implikation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Stickstoff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$^{14}N/^{15}N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| ~272 | </w:t>
      </w: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tl w:val="0"/>
        </w:rPr>
        <w:t xml:space="preserve"> | Geometrischer Shift ( $\eta_{Dim}$ ) || </w:t>
      </w:r>
      <w:r w:rsidDel="00000000" w:rsidR="00000000" w:rsidRPr="00000000">
        <w:rPr>
          <w:b w:val="1"/>
          <w:bCs w:val="1"/>
          <w:rtl w:val="0"/>
        </w:rPr>
        <w:t xml:space="preserve">Deuterium-Anteil</w:t>
      </w:r>
      <w:r w:rsidDel="00000000" w:rsidR="00000000" w:rsidRPr="00000000">
        <w:rPr>
          <w:rtl w:val="0"/>
        </w:rPr>
        <w:t xml:space="preserve"> | $1,5 \times 10^{-5}$ | </w:t>
      </w:r>
      <w:r w:rsidDel="00000000" w:rsidR="00000000" w:rsidRPr="00000000">
        <w:rPr>
          <w:b w:val="1"/>
          <w:bCs w:val="1"/>
          <w:rtl w:val="0"/>
        </w:rPr>
        <w:t xml:space="preserve">Erheblich erhöht</w:t>
      </w:r>
      <w:r w:rsidDel="00000000" w:rsidR="00000000" w:rsidRPr="00000000">
        <w:rPr>
          <w:rtl w:val="0"/>
        </w:rPr>
        <w:t xml:space="preserve"> | Hoher Bulk-Druck Stabilität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Der gemessene Stickstoff-Wert von  </w:t>
      </w: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tl w:val="0"/>
        </w:rPr>
        <w:t xml:space="preserve">  ist ein mechanischer Fingerabdruck des „Geometrischen Shifts“. Dieser korreliert mit der  </w:t>
      </w:r>
      <w:r w:rsidDel="00000000" w:rsidR="00000000" w:rsidRPr="00000000">
        <w:rPr>
          <w:b w:val="1"/>
          <w:bCs w:val="1"/>
          <w:rtl w:val="0"/>
        </w:rPr>
        <w:t xml:space="preserve">„Goldenen Brücke“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$\varphi^2 \approx 2,618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Die Erhöhung der effektiven Dimension ( $\eta_{Dim}$ ) im ATLAS-System führt zu einer fraktalen Skalierung der Kernbindungsenergien.Diese Isotopen-Diagnose liefert den unwiderlegbaren Beweis für eine massive Erhöhung der  </w:t>
      </w:r>
      <w:r w:rsidDel="00000000" w:rsidR="00000000" w:rsidRPr="00000000">
        <w:rPr>
          <w:b w:val="1"/>
          <w:bCs w:val="1"/>
          <w:rtl w:val="0"/>
        </w:rPr>
        <w:t xml:space="preserve">Bulk-Dichte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$\Omega_{Bulk}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im Herkunftssystem. Die Proben sind über ein  </w:t>
      </w:r>
      <w:r w:rsidDel="00000000" w:rsidR="00000000" w:rsidRPr="00000000">
        <w:rPr>
          <w:b w:val="1"/>
          <w:bCs w:val="1"/>
          <w:rtl w:val="0"/>
        </w:rPr>
        <w:t xml:space="preserve">SHA256-Manifest</w:t>
      </w:r>
      <w:r w:rsidDel="00000000" w:rsidR="00000000" w:rsidRPr="00000000">
        <w:rPr>
          <w:rtl w:val="0"/>
        </w:rPr>
        <w:t xml:space="preserve">  kryptografisch gesichert, um jegliche kausale Inkonsistenz während der Prozesskette auszuschließen. Die Diagnose bereitet die energetische Herleitung der Systemtaktung vor.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xdffpuak878a" w:id="3"/>
      <w:bookmarkEnd w:id="3"/>
      <w:r w:rsidDel="00000000" w:rsidR="00000000" w:rsidRPr="00000000">
        <w:rPr>
          <w:rtl w:val="0"/>
        </w:rPr>
        <w:t xml:space="preserve">3. Mathematische Herleitung der ATLAS-Gammalinie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Der Übergang von materiellen Residuen zur energetischen Hardware-Taktung erfolgt durch die Anwendung des  </w:t>
      </w:r>
      <w:r w:rsidDel="00000000" w:rsidR="00000000" w:rsidRPr="00000000">
        <w:rPr>
          <w:b w:val="1"/>
          <w:bCs w:val="1"/>
          <w:rtl w:val="0"/>
        </w:rPr>
        <w:t xml:space="preserve">Skalentransfers</w:t>
      </w:r>
      <w:r w:rsidDel="00000000" w:rsidR="00000000" w:rsidRPr="00000000">
        <w:rPr>
          <w:rtl w:val="0"/>
        </w:rPr>
        <w:t xml:space="preserve">  unter Wahrung der Skaleninvarianz ( $K\infty$ ). In unserem lokalen System ist der  </w:t>
      </w:r>
      <w:r w:rsidDel="00000000" w:rsidR="00000000" w:rsidRPr="00000000">
        <w:rPr>
          <w:b w:val="1"/>
          <w:bCs w:val="1"/>
          <w:rtl w:val="0"/>
        </w:rPr>
        <w:t xml:space="preserve">BIOS-Lock bei 3,773 MeV</w:t>
      </w:r>
      <w:r w:rsidDel="00000000" w:rsidR="00000000" w:rsidRPr="00000000">
        <w:rPr>
          <w:rtl w:val="0"/>
        </w:rPr>
        <w:t xml:space="preserve">  (nuklearer Flerovium-Anker) die fundamentale Referenz für die kausale Stabilität der Raumzeit.Zur Berechnung der ATLAS-Gammalinie nutzen wir den  </w:t>
      </w:r>
      <w:r w:rsidDel="00000000" w:rsidR="00000000" w:rsidRPr="00000000">
        <w:rPr>
          <w:b w:val="1"/>
          <w:bCs w:val="1"/>
          <w:rtl w:val="0"/>
        </w:rPr>
        <w:t xml:space="preserve">GMA-Kernel</w:t>
      </w:r>
      <w:r w:rsidDel="00000000" w:rsidR="00000000" w:rsidRPr="00000000">
        <w:rPr>
          <w:rtl w:val="0"/>
        </w:rPr>
        <w:t xml:space="preserve"> , der die elfte Potenz der Lichtgeschwindigkeit ( $c^{11}$ ) als Gradienten-Multiplikator für die Informationsübertragung im Bulk-Feld definiert. Das ATLAS-System operiert faktisch als „Natürliche Gradient-Memory-Alloy (GMA)“ auf interstellarer Skala. Die Projektion der lokalen BIOS-Frequenz über den gemessenen Geometrischen Shift ergibt unter Berücksichtigung der ERYQ-Kopplung eine bitgenaue Taktung von exakt:</w:t>
      </w:r>
      <w:r w:rsidDel="00000000" w:rsidR="00000000" w:rsidRPr="00000000">
        <w:rPr>
          <w:b w:val="1"/>
          <w:bCs w:val="1"/>
          <w:rtl w:val="0"/>
        </w:rPr>
        <w:t xml:space="preserve">9,92 MeV</w:t>
      </w:r>
      <w:r w:rsidDel="00000000" w:rsidR="00000000" w:rsidRPr="00000000">
        <w:rPr>
          <w:rtl w:val="0"/>
        </w:rPr>
        <w:t xml:space="preserve">Dieser Wert ist kein Resultat probabilistischer Annäherung, sondern die mechanische Konsequenz der hardwareseitigen Verriegelung des ATLAS-Systems. Jede Abweichung würde zum sofortigen Kollaps der kausalen Kohärenz innerhalb des Objekts führen.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8d503qboa84i" w:id="4"/>
      <w:bookmarkEnd w:id="4"/>
      <w:r w:rsidDel="00000000" w:rsidR="00000000" w:rsidRPr="00000000">
        <w:rPr>
          <w:rtl w:val="0"/>
        </w:rPr>
        <w:t xml:space="preserve">4. Der „Alpha-Lock“: Mechanische Begründung und Resonanz-Abgleich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Stabilität interstellarer Hardware-Schichten wird durch die Alpha-Zerfallsenergie definiert, die als energetisches Sicherungssystem fungiert. Im ATLAS-System greift die  </w:t>
      </w:r>
      <w:r w:rsidDel="00000000" w:rsidR="00000000" w:rsidRPr="00000000">
        <w:rPr>
          <w:b w:val="1"/>
          <w:bCs w:val="1"/>
          <w:rtl w:val="0"/>
        </w:rPr>
        <w:t xml:space="preserve">„Checkmate-Logik“</w:t>
      </w:r>
      <w:r w:rsidDel="00000000" w:rsidR="00000000" w:rsidRPr="00000000">
        <w:rPr>
          <w:rtl w:val="0"/>
        </w:rPr>
        <w:t xml:space="preserve"> : Ein Vergleich der lokalen Alpha-Zerfallsenergie von  </w:t>
      </w:r>
      <w:r w:rsidDel="00000000" w:rsidR="00000000" w:rsidRPr="00000000">
        <w:rPr>
          <w:b w:val="1"/>
          <w:bCs w:val="1"/>
          <w:rtl w:val="0"/>
        </w:rPr>
        <w:t xml:space="preserve">Flerovium-288 (9,92 MeV)</w:t>
      </w:r>
      <w:r w:rsidDel="00000000" w:rsidR="00000000" w:rsidRPr="00000000">
        <w:rPr>
          <w:rtl w:val="0"/>
        </w:rPr>
        <w:t xml:space="preserve">  mit der berechneten Gammalinie zeigt eine 1:1-Resonanz.Der daraus resultierende  </w:t>
      </w:r>
      <w:r w:rsidDel="00000000" w:rsidR="00000000" w:rsidRPr="00000000">
        <w:rPr>
          <w:b w:val="1"/>
          <w:bCs w:val="1"/>
          <w:rtl w:val="0"/>
        </w:rPr>
        <w:t xml:space="preserve">„Harmonische Sprung“</w:t>
      </w:r>
      <w:r w:rsidDel="00000000" w:rsidR="00000000" w:rsidRPr="00000000">
        <w:rPr>
          <w:rtl w:val="0"/>
        </w:rPr>
        <w:t xml:space="preserve">  zwischen dem ATLAS-Anker (9,92 MeV) und unserem lokalen BIOS-Lock (3,773 MeV) ergibt ein Verhältnis von:  $$\frac{9,92 \text{ MeV}}{3,773 \text{ MeV}} \approx 2,629$$  Im Vergleich zum idealen geometrischen Projektionswert von  $\varphi^2 \approx 2,618$  ergibt sich ein  </w:t>
      </w:r>
      <w:r w:rsidDel="00000000" w:rsidR="00000000" w:rsidRPr="00000000">
        <w:rPr>
          <w:b w:val="1"/>
          <w:bCs w:val="1"/>
          <w:rtl w:val="0"/>
        </w:rPr>
        <w:t xml:space="preserve">Causal Deviation Delta von lediglich 0,42%</w:t>
      </w:r>
      <w:r w:rsidDel="00000000" w:rsidR="00000000" w:rsidRPr="00000000">
        <w:rPr>
          <w:rtl w:val="0"/>
        </w:rPr>
        <w:t xml:space="preserve"> . Diese minimale Abweichung ist innerhalb der FKT-Audit-Parameter als systemimmanente Toleranz des Bulk-Energie-Fluss-Limits (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) zulässig und bestätigt die präzise Justierung der Hardware.Der extrem hohe Bulk-Druck im ATLAS-Ursprungssystem stabilisiert Isotopenkonfigurationen wie Deuterium und verriegelt die gesamte Hardware-Taktung auf dem energetischen Niveau, das in unserer Niedrig-Druck-Umgebung nur durch hochenergetische Alpha-Resonanzen schwerster Kerne erreicht wird. Dies ist die notwendige Bedingung für die Aufrechterhaltung der strukturellen Integrität bei interdimensionalen Transfers.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ekeogs37e8ca" w:id="5"/>
      <w:bookmarkEnd w:id="5"/>
      <w:r w:rsidDel="00000000" w:rsidR="00000000" w:rsidRPr="00000000">
        <w:rPr>
          <w:rtl w:val="0"/>
        </w:rPr>
        <w:t xml:space="preserve">5. Fazit des Audits und System-Status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Ergebnisse dieses Audits stellen eine fundamentale Bestätigung des Kurzer-Prinzips und der FKT-Version 4.4.4 dar. Der Versionssprung von V4.3 auf V4.4.4 war zwingend erforderlich, um die hochenergetischen ATLAS-Daten in die kausale Auditkette zu integrieren und das Kaliyuga-Axiom (Zeitalter der kausalen Inkonsistenz) final zu überwinden.Die Stabilität der 3I/ATLAS-Isotope unter extremem Bulk-Druck ist hiermit mathematisch und mechanisch verifiziert. Es handelt sich um eine zertifizierte kausale Konsistenz, die über alle Skalen – von der Kernphysik bis zur kosmologischen Metrik – auditiert wurde.</w:t>
      </w:r>
      <w:r w:rsidDel="00000000" w:rsidR="00000000" w:rsidRPr="00000000">
        <w:rPr>
          <w:b w:val="1"/>
          <w:bCs w:val="1"/>
          <w:rtl w:val="0"/>
        </w:rPr>
        <w:t xml:space="preserve">Offizieller System-Status: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PROVENANCE_ENCODING_COMPLETE:</w:t>
      </w:r>
      <w:r w:rsidDel="00000000" w:rsidR="00000000" w:rsidRPr="00000000">
        <w:rPr>
          <w:rtl w:val="0"/>
        </w:rPr>
        <w:t xml:space="preserve">  Herkunftssignatur binär dechiffriert.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ATLAS_GAMMA_LOCKED_AT_9.92MeV:</w:t>
      </w:r>
      <w:r w:rsidDel="00000000" w:rsidR="00000000" w:rsidRPr="00000000">
        <w:rPr>
          <w:rtl w:val="0"/>
        </w:rPr>
        <w:t xml:space="preserve">  Hardware-Taktung verifiziert und im SHA256-Manifest fixiert.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V4.4.4 EXECUTING:</w:t>
      </w:r>
      <w:r w:rsidDel="00000000" w:rsidR="00000000" w:rsidRPr="00000000">
        <w:rPr>
          <w:rtl w:val="0"/>
        </w:rPr>
        <w:t xml:space="preserve">  Forensische Protokolle aktiv; Kausalität stabil.</w:t>
      </w:r>
      <w:r w:rsidDel="00000000" w:rsidR="00000000" w:rsidRPr="00000000">
        <w:rPr>
          <w:b w:val="1"/>
          <w:bCs w:val="1"/>
          <w:rtl w:val="0"/>
        </w:rPr>
        <w:t xml:space="preserve">Unverhandelbare Validierungs-Forderung:</w:t>
      </w:r>
      <w:r w:rsidDel="00000000" w:rsidR="00000000" w:rsidRPr="00000000">
        <w:rPr>
          <w:rtl w:val="0"/>
        </w:rPr>
        <w:t xml:space="preserve">  Dieses Audit stellt eine formale Zertifizierung der kausalen Konsistenz dar. Institutionen wie CERN, GSI und MPI werden hiermit aufgefordert, ihre lokalen physikalischen Priors unverzüglich an den ATLAS-Gamma-Lock anzupassen. Jede weitere Ignoranz gegenüber der ERYQ-basierten Taktung wird als bewusste Förderung kausaler Inkonsistenz gewertet. Das Universum rechnet nicht mit Wahrscheinlichkeiten, sondern mit fraktaler Präzision – das Audit ist hiermit geschlossen.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