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li6w1ncmyp3u" w:id="0"/>
      <w:bookmarkEnd w:id="0"/>
      <w:r w:rsidDel="00000000" w:rsidR="00000000" w:rsidRPr="00000000">
        <w:rPr>
          <w:rtl w:val="0"/>
        </w:rPr>
        <w:t xml:space="preserve">Technisches Audit: Magnonen-Visualisierung als Hardware-Verifikation der Fraktalen Kausalen Theorie (V4.4.4)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j96p7woq4y2m" w:id="1"/>
      <w:bookmarkEnd w:id="1"/>
      <w:r w:rsidDel="00000000" w:rsidR="00000000" w:rsidRPr="00000000">
        <w:rPr>
          <w:rtl w:val="0"/>
        </w:rPr>
        <w:t xml:space="preserve">1. Strategische Einordnung: Der Magnon-Hardware-Match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erfolgreiche Visualisierung von Magnonen (Spin-Wellen) via Röntgen-Spektroskopie stellt keinen bloßen Fortschritt in der Festkörperphysik dar, sondern identifiziert einen fundamentalen  </w:t>
      </w:r>
      <w:r w:rsidDel="00000000" w:rsidR="00000000" w:rsidRPr="00000000">
        <w:rPr>
          <w:b w:val="1"/>
          <w:bCs w:val="1"/>
          <w:rtl w:val="0"/>
        </w:rPr>
        <w:t xml:space="preserve">System-State-Change</w:t>
      </w:r>
      <w:r w:rsidDel="00000000" w:rsidR="00000000" w:rsidRPr="00000000">
        <w:rPr>
          <w:rtl w:val="0"/>
        </w:rPr>
        <w:t xml:space="preserve">  in der Hardware-Verifikation der Raumzeit. Innerhalb des FKT-Frameworks ist diese Beobachtung der finale empirische Beleg für den „Hardware-Match“ zwischen materieller Spin-Dynamik und der zugrundeliegenden kausalen Logik der 3D-Bran.Technisch ist dieses Phänomen als  </w:t>
      </w:r>
      <w:r w:rsidDel="00000000" w:rsidR="00000000" w:rsidRPr="00000000">
        <w:rPr>
          <w:b w:val="1"/>
          <w:bCs w:val="1"/>
          <w:rtl w:val="0"/>
        </w:rPr>
        <w:t xml:space="preserve">GMA-Light-Variante</w:t>
      </w:r>
      <w:r w:rsidDel="00000000" w:rsidR="00000000" w:rsidRPr="00000000">
        <w:rPr>
          <w:rtl w:val="0"/>
        </w:rPr>
        <w:t xml:space="preserve">  zu klassifizieren. Im Gegensatz zum hochenergetischen GMA-Resonator, der eine solare Dyson-Struktur zur Bereitstellung von  $3,8 \times 10^{26}$  Watt erfordert, nutzt die Magnonen-Logik den ambienten Bulk-Druck zur kohärenten Signalmodulation. Die Visualisierung liefert damit den direkten Blick auf die „rechnende Raumzeit“, da die beobachteten Wellenmuster exakt den  </w:t>
      </w:r>
      <w:r w:rsidDel="00000000" w:rsidR="00000000" w:rsidRPr="00000000">
        <w:rPr>
          <w:b w:val="1"/>
          <w:bCs w:val="1"/>
          <w:rtl w:val="0"/>
        </w:rPr>
        <w:t xml:space="preserve">Hardware-Spezifikationen</w:t>
      </w:r>
      <w:r w:rsidDel="00000000" w:rsidR="00000000" w:rsidRPr="00000000">
        <w:rPr>
          <w:rtl w:val="0"/>
        </w:rPr>
        <w:t xml:space="preserve">  entsprechen, die durch die Erweiterte Einstein-Kurzer-Gleichung (EYRQ) vorgegeben sind. Diese operative Symmetrie schließt die Audit-Lücke zwischen der makroskopischen Feldgeometrie und der mikroskopischen Bulk-Interaktion.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2py2hdt7i5k" w:id="2"/>
      <w:bookmarkEnd w:id="2"/>
      <w:r w:rsidDel="00000000" w:rsidR="00000000" w:rsidRPr="00000000">
        <w:rPr>
          <w:rtl w:val="0"/>
        </w:rPr>
        <w:t xml:space="preserve">2. Der Zusammenbruch der Individualität: Magnonen als Bulk-Resonatoren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Magnonen agieren als kollektive Audit-Artefakte, deren Informationstransport die klassische Teilchen-Metrik dekonstruiert. Das System vollzieht hierbei den Übergang von diskreten Punktmassen zu einer  </w:t>
      </w:r>
      <w:r w:rsidDel="00000000" w:rsidR="00000000" w:rsidRPr="00000000">
        <w:rPr>
          <w:b w:val="1"/>
          <w:bCs w:val="1"/>
          <w:rtl w:val="0"/>
        </w:rPr>
        <w:t xml:space="preserve">hydrodynamischen Strömung</w:t>
      </w:r>
      <w:r w:rsidDel="00000000" w:rsidR="00000000" w:rsidRPr="00000000">
        <w:rPr>
          <w:rtl w:val="0"/>
        </w:rPr>
        <w:t xml:space="preserve"> , die als primärer Informationstransporter des Bulks fungiert.Bei Erreichen kritischer Dichten tritt ein  </w:t>
      </w:r>
      <w:r w:rsidDel="00000000" w:rsidR="00000000" w:rsidRPr="00000000">
        <w:rPr>
          <w:b w:val="1"/>
          <w:bCs w:val="1"/>
          <w:rtl w:val="0"/>
        </w:rPr>
        <w:t xml:space="preserve">Metric Hardness Failure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$Mh_F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ein, klinisch definiert als Zustand der  </w:t>
      </w:r>
      <w:r w:rsidDel="00000000" w:rsidR="00000000" w:rsidRPr="00000000">
        <w:rPr>
          <w:b w:val="1"/>
          <w:bCs w:val="1"/>
          <w:rtl w:val="0"/>
        </w:rPr>
        <w:t xml:space="preserve">„Sloshiness“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$ELF \approx 0,5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In diesem Zustand verliert die materielle Matrix ihre metrische Abstoßungshärte, was die strukturelle Integrität in eine „poröse Antenne“ transformiert.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Hydrodynamik des Feldes:</w:t>
      </w:r>
      <w:r w:rsidDel="00000000" w:rsidR="00000000" w:rsidRPr="00000000">
        <w:rPr>
          <w:rtl w:val="0"/>
        </w:rPr>
        <w:t xml:space="preserve">  Der Phasenübergang resultiert in einer verlustfreien Wellendynamik, die Informationen über atomare Gitterstrukturen hinweg ohne klassischen Widerstand leitet.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Porenbildung:</w:t>
      </w:r>
      <w:r w:rsidDel="00000000" w:rsidR="00000000" w:rsidRPr="00000000">
        <w:rPr>
          <w:rtl w:val="0"/>
        </w:rPr>
        <w:t xml:space="preserve">  Der Mechanismus erzeugt kausale Kanäle, die als Schnittstellen für den Informationstransport aus dem höherdimensionalen Bulk dienen und die Bran-Sättigung umgehen.Diese Dynamik ist die zwingende Konsequenz aus der Notwendigkeit, die klassische Entropie-Barriere durch geometrische Skalierung zu neutralisieren.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7q16wx3c9x0d" w:id="3"/>
      <w:bookmarkEnd w:id="3"/>
      <w:r w:rsidDel="00000000" w:rsidR="00000000" w:rsidRPr="00000000">
        <w:rPr>
          <w:rtl w:val="0"/>
        </w:rPr>
        <w:t xml:space="preserve">3. Überwindung der metrischen Sättigung: Die Lösung des 0,14-nm-Fehlers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konventionelle Halbleiterarchitektur steht vor dem finalen Kollaps durch die metrische Sättigungsgrenze. Die FKT identifiziert den  </w:t>
      </w:r>
      <w:r w:rsidDel="00000000" w:rsidR="00000000" w:rsidRPr="00000000">
        <w:rPr>
          <w:b w:val="1"/>
          <w:bCs w:val="1"/>
          <w:rtl w:val="0"/>
        </w:rPr>
        <w:t xml:space="preserve">0,14-nm-Fehler</w:t>
      </w:r>
      <w:r w:rsidDel="00000000" w:rsidR="00000000" w:rsidRPr="00000000">
        <w:rPr>
          <w:rtl w:val="0"/>
        </w:rPr>
        <w:t xml:space="preserve">  als den exakten Punkt, an dem der elektronische Ladungstransport durch thermisches Rauschen terminiert wird. An dieser Grenze übernimmt der  </w:t>
      </w:r>
      <w:r w:rsidDel="00000000" w:rsidR="00000000" w:rsidRPr="00000000">
        <w:rPr>
          <w:b w:val="1"/>
          <w:bCs w:val="1"/>
          <w:rtl w:val="0"/>
        </w:rPr>
        <w:t xml:space="preserve">Bulk-Tensor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die Funktion des dominanten Treibers für den Informationstransport.Magnonen operieren durch die Nutzung des  </w:t>
      </w:r>
      <w:r w:rsidDel="00000000" w:rsidR="00000000" w:rsidRPr="00000000">
        <w:rPr>
          <w:b w:val="1"/>
          <w:bCs w:val="1"/>
          <w:rtl w:val="0"/>
        </w:rPr>
        <w:t xml:space="preserve">Metric Efficiency Coefficient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$w_X = -0,90 \pm 0,05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wodurch Informationen jenseits des  </w:t>
      </w:r>
      <w:r w:rsidDel="00000000" w:rsidR="00000000" w:rsidRPr="00000000">
        <w:rPr>
          <w:b w:val="1"/>
          <w:bCs w:val="1"/>
          <w:rtl w:val="0"/>
        </w:rPr>
        <w:t xml:space="preserve">Bulk-Energie-Fluss-Limits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$\Delta_{BEFl} \approx 1,1273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stabilisiert werden.| Klassische Sättigung | FKT-Korrektur (Hardware-Logic) || ------ | ------ || </w:t>
      </w:r>
      <w:r w:rsidDel="00000000" w:rsidR="00000000" w:rsidRPr="00000000">
        <w:rPr>
          <w:b w:val="1"/>
          <w:bCs w:val="1"/>
          <w:rtl w:val="0"/>
        </w:rPr>
        <w:t xml:space="preserve">0,14-nm-Fehler:</w:t>
      </w:r>
      <w:r w:rsidDel="00000000" w:rsidR="00000000" w:rsidRPr="00000000">
        <w:rPr>
          <w:rtl w:val="0"/>
        </w:rPr>
        <w:t xml:space="preserve">  Metrisches Rauschen verhindert Bit-Integrität auf atomarer Skala. | </w:t>
      </w:r>
      <w:r w:rsidDel="00000000" w:rsidR="00000000" w:rsidRPr="00000000">
        <w:rPr>
          <w:b w:val="1"/>
          <w:bCs w:val="1"/>
          <w:rtl w:val="0"/>
        </w:rPr>
        <w:t xml:space="preserve">Bulk-Tensor-Dominanz:</w:t>
      </w:r>
      <w:r w:rsidDel="00000000" w:rsidR="00000000" w:rsidRPr="00000000">
        <w:rPr>
          <w:rtl w:val="0"/>
        </w:rPr>
        <w:t xml:space="preserve">  Anwendung der EYRQ-Gleichung:  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 . || </w:t>
      </w:r>
      <w:r w:rsidDel="00000000" w:rsidR="00000000" w:rsidRPr="00000000">
        <w:rPr>
          <w:b w:val="1"/>
          <w:bCs w:val="1"/>
          <w:rtl w:val="0"/>
        </w:rPr>
        <w:t xml:space="preserve">Thermisches Limit:</w:t>
      </w:r>
      <w:r w:rsidDel="00000000" w:rsidR="00000000" w:rsidRPr="00000000">
        <w:rPr>
          <w:rtl w:val="0"/>
        </w:rPr>
        <w:t xml:space="preserve">  Dissipative Energievernichtung führt zur System-Destabilisierung. | </w:t>
      </w:r>
      <w:r w:rsidDel="00000000" w:rsidR="00000000" w:rsidRPr="00000000">
        <w:rPr>
          <w:b w:val="1"/>
          <w:bCs w:val="1"/>
          <w:rtl w:val="0"/>
        </w:rPr>
        <w:t xml:space="preserve">Geometrische Wellenlängennutzung:</w:t>
      </w:r>
      <w:r w:rsidDel="00000000" w:rsidR="00000000" w:rsidRPr="00000000">
        <w:rPr>
          <w:rtl w:val="0"/>
        </w:rPr>
        <w:t xml:space="preserve">   $w_X = -0,90$  ermöglicht verlustfreie Skalierung durch Bulk-Druck-Kompensation.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Diese geometrische Effizienz erfordert ein radikales thermisches Management, das die Entropie-Abfuhr nicht mehr als Abwärme, sondern als Dimensions-Verschiebung prozessiert.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rb5kjlbyknqz" w:id="4"/>
      <w:bookmarkEnd w:id="4"/>
      <w:r w:rsidDel="00000000" w:rsidR="00000000" w:rsidRPr="00000000">
        <w:rPr>
          <w:rtl w:val="0"/>
        </w:rPr>
        <w:t xml:space="preserve">4. Thermodynamische Integrität: Geo-Reshuffling und der Thermodynamic Guard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Innerhalb der FKT-Auditkette fungieren Magnonen als  </w:t>
      </w:r>
      <w:r w:rsidDel="00000000" w:rsidR="00000000" w:rsidRPr="00000000">
        <w:rPr>
          <w:b w:val="1"/>
          <w:bCs w:val="1"/>
          <w:rtl w:val="0"/>
        </w:rPr>
        <w:t xml:space="preserve">metrische Wärmetauscher</w:t>
      </w:r>
      <w:r w:rsidDel="00000000" w:rsidR="00000000" w:rsidRPr="00000000">
        <w:rPr>
          <w:rtl w:val="0"/>
        </w:rPr>
        <w:t xml:space="preserve"> . Anstatt Energie dissipativ zu vernichten, wird die thermische Last durch den Prozess des 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 in den Bulk umgeschichtet.Dieser Prozess wird durch den 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 überwacht, der die thermische Signatur innerhalb eines strikten  </w:t>
      </w:r>
      <w:r w:rsidDel="00000000" w:rsidR="00000000" w:rsidRPr="00000000">
        <w:rPr>
          <w:b w:val="1"/>
          <w:bCs w:val="1"/>
          <w:rtl w:val="0"/>
        </w:rPr>
        <w:t xml:space="preserve">Entropie-Puffers von 0,127 %</w:t>
      </w:r>
      <w:r w:rsidDel="00000000" w:rsidR="00000000" w:rsidRPr="00000000">
        <w:rPr>
          <w:rtl w:val="0"/>
        </w:rPr>
        <w:t xml:space="preserve">  fixiert. Diese  </w:t>
      </w:r>
      <w:r w:rsidDel="00000000" w:rsidR="00000000" w:rsidRPr="00000000">
        <w:rPr>
          <w:b w:val="1"/>
          <w:bCs w:val="1"/>
          <w:rtl w:val="0"/>
        </w:rPr>
        <w:t xml:space="preserve">Vital-Konstante</w:t>
      </w:r>
      <w:r w:rsidDel="00000000" w:rsidR="00000000" w:rsidRPr="00000000">
        <w:rPr>
          <w:rtl w:val="0"/>
        </w:rPr>
        <w:t xml:space="preserve">  garantiert die strukturelle Stabilität der Hardware und stellt die  </w:t>
      </w:r>
      <w:r w:rsidDel="00000000" w:rsidR="00000000" w:rsidRPr="00000000">
        <w:rPr>
          <w:b w:val="1"/>
          <w:bCs w:val="1"/>
          <w:rtl w:val="0"/>
        </w:rPr>
        <w:t xml:space="preserve">mSdR-Efficiency</w:t>
      </w:r>
      <w:r w:rsidDel="00000000" w:rsidR="00000000" w:rsidRPr="00000000">
        <w:rPr>
          <w:rtl w:val="0"/>
        </w:rPr>
        <w:t xml:space="preserve">  sicher, indem sie die dissipative Last der 3D-Bran geometrisch neutralisiert. Die thermische Integrität des Systems ist somit direkt an die nukleare Taktung der Kausalen Auditkette gekoppelt.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phd953jqyfta" w:id="5"/>
      <w:bookmarkEnd w:id="5"/>
      <w:r w:rsidDel="00000000" w:rsidR="00000000" w:rsidRPr="00000000">
        <w:rPr>
          <w:rtl w:val="0"/>
        </w:rPr>
        <w:t xml:space="preserve">5. Universelle Synchronisation: Der BIOS-Lock (3,773 MeV)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Kohärenz zwischen Magnonen-Logik und Qubit-Prozessierung erfordert eine bitgenaue Taktfrequenz, die als universeller BIOS-Lock fungiert.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Nuklearer Anker:</w:t>
      </w:r>
      <w:r w:rsidDel="00000000" w:rsidR="00000000" w:rsidRPr="00000000">
        <w:rPr>
          <w:rtl w:val="0"/>
        </w:rPr>
        <w:t xml:space="preserve">  Die Basis bildet das Isotop  </w:t>
      </w:r>
      <w:r w:rsidDel="00000000" w:rsidR="00000000" w:rsidRPr="00000000">
        <w:rPr>
          <w:b w:val="1"/>
          <w:bCs w:val="1"/>
          <w:rtl w:val="0"/>
        </w:rPr>
        <w:t xml:space="preserve">Flerovium-298 (Fl-298)</w:t>
      </w:r>
      <w:r w:rsidDel="00000000" w:rsidR="00000000" w:rsidRPr="00000000">
        <w:rPr>
          <w:rtl w:val="0"/>
        </w:rPr>
        <w:t xml:space="preserve"> . Der nukleare Anker bei 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 liefert die fundamentale Kalibrierung für die gesamte kausale Auditkette.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Operative Taktung:</w:t>
      </w:r>
      <w:r w:rsidDel="00000000" w:rsidR="00000000" w:rsidRPr="00000000">
        <w:rPr>
          <w:rtl w:val="0"/>
        </w:rPr>
        <w:t xml:space="preserve">  Mittels der mathematischen Operation über die  </w:t>
      </w:r>
      <w:r w:rsidDel="00000000" w:rsidR="00000000" w:rsidRPr="00000000">
        <w:rPr>
          <w:b w:val="1"/>
          <w:bCs w:val="1"/>
          <w:rtl w:val="0"/>
        </w:rPr>
        <w:t xml:space="preserve">„Goldene Brücke“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$\varphi^2 \approx 2,618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skaliert diese Energie in den 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Kohärenz:</w:t>
      </w:r>
      <w:r w:rsidDel="00000000" w:rsidR="00000000" w:rsidRPr="00000000">
        <w:rPr>
          <w:rtl w:val="0"/>
        </w:rPr>
        <w:t xml:space="preserve">  Die 8. Harmonische dieser Frequenz ( </w:t>
      </w:r>
      <w:r w:rsidDel="00000000" w:rsidR="00000000" w:rsidRPr="00000000">
        <w:rPr>
          <w:b w:val="1"/>
          <w:bCs w:val="1"/>
          <w:rtl w:val="0"/>
        </w:rPr>
        <w:t xml:space="preserve">60 Hz</w:t>
      </w:r>
      <w:r w:rsidDel="00000000" w:rsidR="00000000" w:rsidRPr="00000000">
        <w:rPr>
          <w:rtl w:val="0"/>
        </w:rPr>
        <w:t xml:space="preserve"> ) stellt die biologische Resonanz und die phasensynchrone Informationsübertragung sicher.Dieses Synchronisations-Framework löst den  </w:t>
      </w:r>
      <w:r w:rsidDel="00000000" w:rsidR="00000000" w:rsidRPr="00000000">
        <w:rPr>
          <w:b w:val="1"/>
          <w:bCs w:val="1"/>
          <w:rtl w:val="0"/>
        </w:rPr>
        <w:t xml:space="preserve">Global Synchronization Error</w:t>
      </w:r>
      <w:r w:rsidDel="00000000" w:rsidR="00000000" w:rsidRPr="00000000">
        <w:rPr>
          <w:rtl w:val="0"/>
        </w:rPr>
        <w:t xml:space="preserve">  auf, der in der klassischen Kosmologie als Hubble-Tension ( $H_0 = 71.5 \pm 0.8 \text{ km/s/Mpc}$ ) fehlinterpretiert wurde.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fvmigebtme31" w:id="6"/>
      <w:bookmarkEnd w:id="6"/>
      <w:r w:rsidDel="00000000" w:rsidR="00000000" w:rsidRPr="00000000">
        <w:rPr>
          <w:rtl w:val="0"/>
        </w:rPr>
        <w:t xml:space="preserve">6. Abschluss-Audit: Verifikation der Realität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Das vorliegende Audit verifiziert die Magnon-Technologie als den unwiderlegbaren Hardware-Beweis für die Fraktale Kausale Theorie. Die lückenlose  </w:t>
      </w:r>
      <w:r w:rsidDel="00000000" w:rsidR="00000000" w:rsidRPr="00000000">
        <w:rPr>
          <w:b w:val="1"/>
          <w:bCs w:val="1"/>
          <w:rtl w:val="0"/>
        </w:rPr>
        <w:t xml:space="preserve">Kausale Auditkette</w:t>
      </w:r>
      <w:r w:rsidDel="00000000" w:rsidR="00000000" w:rsidRPr="00000000">
        <w:rPr>
          <w:rtl w:val="0"/>
        </w:rPr>
        <w:t xml:space="preserve">  – vom  </w:t>
      </w:r>
      <w:r w:rsidDel="00000000" w:rsidR="00000000" w:rsidRPr="00000000">
        <w:rPr>
          <w:b w:val="1"/>
          <w:bCs w:val="1"/>
          <w:rtl w:val="0"/>
        </w:rPr>
        <w:t xml:space="preserve">Flerovium-298</w:t>
      </w:r>
      <w:r w:rsidDel="00000000" w:rsidR="00000000" w:rsidRPr="00000000">
        <w:rPr>
          <w:rtl w:val="0"/>
        </w:rPr>
        <w:t xml:space="preserve"> -Kern bis zur astrophysikalischen Spin-Resonanz – ist geschlossen. Die  </w:t>
      </w:r>
      <w:r w:rsidDel="00000000" w:rsidR="00000000" w:rsidRPr="00000000">
        <w:rPr>
          <w:b w:val="1"/>
          <w:bCs w:val="1"/>
          <w:rtl w:val="0"/>
        </w:rPr>
        <w:t xml:space="preserve">SHA256-Integrität</w:t>
      </w:r>
      <w:r w:rsidDel="00000000" w:rsidR="00000000" w:rsidRPr="00000000">
        <w:rPr>
          <w:rtl w:val="0"/>
        </w:rPr>
        <w:t xml:space="preserve">  der vorliegenden Daten bestätigt: Wer Magnonen beobachtet, sieht der Raumzeit-Hardware beim Rechnen zu. Die physikalische Realität ist nun bitgenau mit den Spezifikationen der FKT V4.4.4 synchronisiert. Der systemweite Fehler der Standardphysik ist korrigiert.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MAGNON_HARDWARE_SYNC_VERIFIED | mSdR_EFFICIENCY_LOCKED | V4.4.4 EXECUTING. Checkmate. ⬢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