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95fx8u9ziql" w:id="0"/>
      <w:bookmarkEnd w:id="0"/>
      <w:r w:rsidDel="00000000" w:rsidR="00000000" w:rsidRPr="00000000">
        <w:rPr>
          <w:rtl w:val="0"/>
        </w:rPr>
        <w:t xml:space="preserve">Technisches Implementierungsprotokoll: Kausale Nacht-Regenerations-App (V4.4.4)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Dieses Dokument spezifiziert die verbindlichen technischen Implementierungsvorgaben für die Kausale Nacht-Regenerations-App basierend auf der Fraktalen Kausalen Theorie (FKT V4.4.4). Die Einhaltung der subatomaren und thermodynamischen Parameter ist für die kausale Schließung des Systems zwingend erforderlich.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qf3arsskqupu" w:id="1"/>
      <w:bookmarkEnd w:id="1"/>
      <w:r w:rsidDel="00000000" w:rsidR="00000000" w:rsidRPr="00000000">
        <w:rPr>
          <w:rtl w:val="0"/>
        </w:rPr>
        <w:t xml:space="preserve">1. Metadaten und System-Axiome (V4.4.4)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operative Integrität der Applikation basiert auf den nachfolgenden physikalischen Axiomen. Jede Abweichung außerhalb der definierten Toleranzen führt zum sofortigen Abbruch der kausalen Kette.| Parameter | Wert | Funktionale Beschreibung || ------ | ------ | ------ || F_c | 0.99873 | Kern-Fidelity der kausalen Information; Zielwert der Rekonstruktionsgenauigkeit. || E_p | 0.00127 | Entropischer Puffer-Koeffizient ( $1 - F_c$ ); definiert die zulässige metrische Abweichung. || k_infinity_target | 0.9987 | Zielwert der Skaleninvarianz; gewährleistet die fraktale Selbstähnlichkeit des Systems. || waste_heat_limit | 0.00127 | Maximal zulässige metrische Abwärme innerhalb der Bran-Materie (entspricht  $E_p$ ). |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rblgscih2e88" w:id="2"/>
      <w:bookmarkEnd w:id="2"/>
      <w:r w:rsidDel="00000000" w:rsidR="00000000" w:rsidRPr="00000000">
        <w:rPr>
          <w:rtl w:val="0"/>
        </w:rPr>
        <w:t xml:space="preserve">2. Frequenz-Architektur: Der H2-Vektor &amp; Tellurisches Modem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Synchronisation der biologischen Entität erfolgt über eine dreistufige Frequenztaktung, die als tellurisches Modem fungiert, um externe Inhomogenitäten in den regenerativen Bulk-Herzschlag zu überführen.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$\nu_{earth\_schumann}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(7,83 Hz)</w:t>
      </w:r>
      <w:r w:rsidDel="00000000" w:rsidR="00000000" w:rsidRPr="00000000">
        <w:rPr>
          <w:rtl w:val="0"/>
        </w:rPr>
        <w:t xml:space="preserve">  Referenztakt der lokalen 3D-Bran. Dient als initiale Ankerfrequenz für die Umgebungserkennung.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$\nu_{bulk\_heartbeat}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(7,50 Hz)</w:t>
      </w:r>
      <w:r w:rsidDel="00000000" w:rsidR="00000000" w:rsidRPr="00000000">
        <w:rPr>
          <w:rtl w:val="0"/>
        </w:rPr>
        <w:t xml:space="preserve">  Fundamentaler Takt des Bulk-Feldes. Diese Frequenz ist die Zielmetrik für den Informationstransport und die Zellkohärenz.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3: Schumann-Neutralizer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puffer_delta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 0,33 Hz)</w:t>
      </w:r>
      <w:r w:rsidDel="00000000" w:rsidR="00000000" w:rsidRPr="00000000">
        <w:rPr>
          <w:rtl w:val="0"/>
        </w:rPr>
        <w:t xml:space="preserve">  Aktive Implementierungsvorgabe zur mathematischen Differenzbildung:  $\nu_{Schumann} - \nu_{Bulk} = 0,33$  Hz. Das Modem synchronisiert hochenergetische Impulse aktiv in den stabilen 7,50 Hz Bulk-Herzschlag.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4fsqo3aodkzx" w:id="3"/>
      <w:bookmarkEnd w:id="3"/>
      <w:r w:rsidDel="00000000" w:rsidR="00000000" w:rsidRPr="00000000">
        <w:rPr>
          <w:rtl w:val="0"/>
        </w:rPr>
        <w:t xml:space="preserve">3. Der BIOS-Lock: Subatomare Verankerung via Flerovium-Anker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Zur lokalen Stabilisierung der Raumzeit-Geometrie implementiert das System einen Dual-Anker-Mechanismus. Der BIOS-Lock fixiert die Kausalstruktur durch Simulation nuklearer Resonanzpunkte.</w:t>
      </w:r>
      <w:r w:rsidDel="00000000" w:rsidR="00000000" w:rsidRPr="00000000">
        <w:rPr>
          <w:b w:val="1"/>
          <w:bCs w:val="1"/>
          <w:rtl w:val="0"/>
        </w:rPr>
        <w:t xml:space="preserve">Physikalische Spezifikation:</w:t>
      </w:r>
      <w:r w:rsidDel="00000000" w:rsidR="00000000" w:rsidRPr="00000000">
        <w:rPr>
          <w:rtl w:val="0"/>
        </w:rPr>
        <w:t xml:space="preserve">  Die Simulation nutzt die  </w:t>
      </w:r>
      <w:r w:rsidDel="00000000" w:rsidR="00000000" w:rsidRPr="00000000">
        <w:rPr>
          <w:b w:val="1"/>
          <w:bCs w:val="1"/>
          <w:rtl w:val="0"/>
        </w:rPr>
        <w:t xml:space="preserve">Kurzer Finite Element Methode (K-FEM)</w:t>
      </w:r>
      <w:r w:rsidDel="00000000" w:rsidR="00000000" w:rsidRPr="00000000">
        <w:rPr>
          <w:rtl w:val="0"/>
        </w:rPr>
        <w:t xml:space="preserve">  zur Berechnung der Gammalinie des superschweren Elements Flerovium-298. Die Zielenergie ergibt sich aus der Differenz der angeregten Kernzustände:$$E_\gamma = E_{2+} (4,105 \text{ MeV}) - E_{0+} (0,332 \text{ MeV}) = 3,773 \text{ MeV}$$</w:t>
      </w:r>
      <w:r w:rsidDel="00000000" w:rsidR="00000000" w:rsidRPr="00000000">
        <w:rPr>
          <w:b w:val="1"/>
          <w:bCs w:val="1"/>
          <w:rtl w:val="0"/>
        </w:rPr>
        <w:t xml:space="preserve">Implementierungsparameter: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Flerovium-Anker:</w:t>
      </w:r>
      <w:r w:rsidDel="00000000" w:rsidR="00000000" w:rsidRPr="00000000">
        <w:rPr>
          <w:rtl w:val="0"/>
        </w:rPr>
        <w:t xml:space="preserve">  Verankerung der 3,773 MeV Resonanz als lokaler geometrischer Fixpunkt.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Myon-Anker:</w:t>
      </w:r>
      <w:r w:rsidDel="00000000" w:rsidR="00000000" w:rsidRPr="00000000">
        <w:rPr>
          <w:rtl w:val="0"/>
        </w:rPr>
        <w:t xml:space="preserve">  Status BRANCH_LOCKED. Das System nutzt die ERYQ-Gleichung zur Kopplung des Standardmodells als Grenzfall ( $C_{\mu\nu} \to 0$ 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Lock-Cycles:</w:t>
      </w:r>
      <w:r w:rsidDel="00000000" w:rsidR="00000000" w:rsidRPr="00000000">
        <w:rPr>
          <w:rtl w:val="0"/>
        </w:rPr>
        <w:t xml:space="preserve">  Die Initialisierungsphase erfordert exakt  </w:t>
      </w:r>
      <w:r w:rsidDel="00000000" w:rsidR="00000000" w:rsidRPr="00000000">
        <w:rPr>
          <w:b w:val="1"/>
          <w:bCs w:val="1"/>
          <w:rtl w:val="0"/>
        </w:rPr>
        <w:t xml:space="preserve">10 Zyklen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Sigma-Stabilität:</w:t>
      </w:r>
      <w:r w:rsidDel="00000000" w:rsidR="00000000" w:rsidRPr="00000000">
        <w:rPr>
          <w:rtl w:val="0"/>
        </w:rPr>
        <w:t xml:space="preserve">  Ein Mindestwert von  </w:t>
      </w:r>
      <w:r w:rsidDel="00000000" w:rsidR="00000000" w:rsidRPr="00000000">
        <w:rPr>
          <w:b w:val="1"/>
          <w:bCs w:val="1"/>
          <w:rtl w:val="0"/>
        </w:rPr>
        <w:t xml:space="preserve">0,8502</w:t>
      </w:r>
      <w:r w:rsidDel="00000000" w:rsidR="00000000" w:rsidRPr="00000000">
        <w:rPr>
          <w:rtl w:val="0"/>
        </w:rPr>
        <w:t xml:space="preserve">  ist für die Aufrechterhaltung des BIOS-Locks erforderlich.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vtlt7zq5ila2" w:id="4"/>
      <w:bookmarkEnd w:id="4"/>
      <w:r w:rsidDel="00000000" w:rsidR="00000000" w:rsidRPr="00000000">
        <w:rPr>
          <w:rtl w:val="0"/>
        </w:rPr>
        <w:t xml:space="preserve">4. Metrische Konversion: Vom Rauschen zur Resonanz (Kausale Inversion)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Inversions-Algorithmus hat die Aufgabe, metrisches Rauschen (Elektrosmog/Störfelder) aktiv in regenerative Resonanz zu überführen. Hierbei ist die  </w:t>
      </w:r>
      <w:r w:rsidDel="00000000" w:rsidR="00000000" w:rsidRPr="00000000">
        <w:rPr>
          <w:b w:val="1"/>
          <w:bCs w:val="1"/>
          <w:rtl w:val="0"/>
        </w:rPr>
        <w:t xml:space="preserve">Anti-Uran-Metrik</w:t>
      </w:r>
      <w:r w:rsidDel="00000000" w:rsidR="00000000" w:rsidRPr="00000000">
        <w:rPr>
          <w:rtl w:val="0"/>
        </w:rPr>
        <w:t xml:space="preserve">  zur Neutralisierung topologischer Inhomogenitäten anzuwenden.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Detektion:</w:t>
      </w:r>
      <w:r w:rsidDel="00000000" w:rsidR="00000000" w:rsidRPr="00000000">
        <w:rPr>
          <w:rtl w:val="0"/>
        </w:rPr>
        <w:t xml:space="preserve">  Echtzeit-Erfassung metrischer Inhomogenitäten ( $\Delta G$ ) im lokalen Nutzerumfeld.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Topologische Neutralisierung:</w:t>
      </w:r>
      <w:r w:rsidDel="00000000" w:rsidR="00000000" w:rsidRPr="00000000">
        <w:rPr>
          <w:rtl w:val="0"/>
        </w:rPr>
        <w:t xml:space="preserve">  Kompensation der Störungen durch Anwendung inverser metrischer Filter (Anti-Uran-Logik).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Absorption via GEO_RESHUFFLING:</w:t>
      </w:r>
      <w:r w:rsidDel="00000000" w:rsidR="00000000" w:rsidRPr="00000000">
        <w:rPr>
          <w:rtl w:val="0"/>
        </w:rPr>
        <w:t xml:space="preserve">  Metrische Abwärme wird nicht thermisch vernichtet, sondern geometrisch in den Bulk-Druck absorbiert.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Resonanz-Kopplung:</w:t>
      </w:r>
      <w:r w:rsidDel="00000000" w:rsidR="00000000" w:rsidRPr="00000000">
        <w:rPr>
          <w:rtl w:val="0"/>
        </w:rPr>
        <w:t xml:space="preserve">  Überführung der neutralisierten Energie in das Ziel-Frequenzband des H2-Vektors.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Entropie-Audit:</w:t>
      </w:r>
      <w:r w:rsidDel="00000000" w:rsidR="00000000" w:rsidRPr="00000000">
        <w:rPr>
          <w:rtl w:val="0"/>
        </w:rPr>
        <w:t xml:space="preserve">  Kontinuierliche Validierung, dass das Entropie-Delta bei Null bleibt ( $\Delta S \equiv 0$ ).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6dn5ysapjwbs" w:id="5"/>
      <w:bookmarkEnd w:id="5"/>
      <w:r w:rsidDel="00000000" w:rsidR="00000000" w:rsidRPr="00000000">
        <w:rPr>
          <w:rtl w:val="0"/>
        </w:rPr>
        <w:t xml:space="preserve">5. Der Thermodynamic Guard &amp; Peak-Impuls-Management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Das System muss Belastungsspitzen bis zu einer Kapazität von  </w:t>
      </w:r>
      <w:r w:rsidDel="00000000" w:rsidR="00000000" w:rsidRPr="00000000">
        <w:rPr>
          <w:b w:val="1"/>
          <w:bCs w:val="1"/>
          <w:rtl w:val="0"/>
        </w:rPr>
        <w:t xml:space="preserve">8,4 GW Peak-Impuls</w:t>
      </w:r>
      <w:r w:rsidDel="00000000" w:rsidR="00000000" w:rsidRPr="00000000">
        <w:rPr>
          <w:rtl w:val="0"/>
        </w:rPr>
        <w:t xml:space="preserve">  absichern. Kritische Sicherheits-Audit-Trigger sind softwareseitig fest zu verdrahten.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 Umschichtung:</w:t>
      </w:r>
      <w:r w:rsidDel="00000000" w:rsidR="00000000" w:rsidRPr="00000000">
        <w:rPr>
          <w:rtl w:val="0"/>
        </w:rPr>
        <w:t xml:space="preserve">  Überschüssige Energie wird durch Erhöhung des Bulk-Drucks komprimiert. Dies verhindert thermische Schäden an zellulären Strukturen. Der Grenzwert für diese Kompression ist durch das delta_befl_limit von  </w:t>
      </w:r>
      <w:r w:rsidDel="00000000" w:rsidR="00000000" w:rsidRPr="00000000">
        <w:rPr>
          <w:b w:val="1"/>
          <w:bCs w:val="1"/>
          <w:rtl w:val="0"/>
        </w:rPr>
        <w:t xml:space="preserve">1,127</w:t>
      </w:r>
      <w:r w:rsidDel="00000000" w:rsidR="00000000" w:rsidRPr="00000000">
        <w:rPr>
          <w:rtl w:val="0"/>
        </w:rPr>
        <w:t xml:space="preserve">  definiert.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Sicherheits-Grenzwerte: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Waste-Heat:</w:t>
      </w:r>
      <w:r w:rsidDel="00000000" w:rsidR="00000000" w:rsidRPr="00000000">
        <w:rPr>
          <w:rtl w:val="0"/>
        </w:rPr>
        <w:t xml:space="preserve">  Die metrische Abwärme ist strikt auf  </w:t>
      </w:r>
      <w:r w:rsidDel="00000000" w:rsidR="00000000" w:rsidRPr="00000000">
        <w:rPr>
          <w:b w:val="1"/>
          <w:bCs w:val="1"/>
          <w:rtl w:val="0"/>
        </w:rPr>
        <w:t xml:space="preserve">0,00127</w:t>
      </w:r>
      <w:r w:rsidDel="00000000" w:rsidR="00000000" w:rsidRPr="00000000">
        <w:rPr>
          <w:rtl w:val="0"/>
        </w:rPr>
        <w:t xml:space="preserve">  (Axiom  $E_p$ ) zu deckeln.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Active H2-Sync:</w:t>
      </w:r>
      <w:r w:rsidDel="00000000" w:rsidR="00000000" w:rsidRPr="00000000">
        <w:rPr>
          <w:rtl w:val="0"/>
        </w:rPr>
        <w:t xml:space="preserve">  Permanente Synchronisation bei  </w:t>
      </w:r>
      <w:r w:rsidDel="00000000" w:rsidR="00000000" w:rsidRPr="00000000">
        <w:rPr>
          <w:b w:val="1"/>
          <w:bCs w:val="1"/>
          <w:rtl w:val="0"/>
        </w:rPr>
        <w:t xml:space="preserve">7,50 Hz</w:t>
      </w:r>
      <w:r w:rsidDel="00000000" w:rsidR="00000000" w:rsidRPr="00000000">
        <w:rPr>
          <w:rtl w:val="0"/>
        </w:rPr>
        <w:t xml:space="preserve">  ist zwingend.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e5jmcfirr8sq" w:id="6"/>
      <w:bookmarkEnd w:id="6"/>
      <w:r w:rsidDel="00000000" w:rsidR="00000000" w:rsidRPr="00000000">
        <w:rPr>
          <w:rtl w:val="0"/>
        </w:rPr>
        <w:t xml:space="preserve">6. Biologische Kopplung: TConsciousness-Prinzip &amp; Zellregeneration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biologische Schnittstelle koppelt die Mikrotubuli (biologische Qubits) an den physikalischen 3,773 MeV Takt.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Kohärenz-Kette:</w:t>
      </w:r>
      <w:r w:rsidDel="00000000" w:rsidR="00000000" w:rsidRPr="00000000">
        <w:rPr>
          <w:rtl w:val="0"/>
        </w:rPr>
        <w:t xml:space="preserve">  Das Signal wird vom subatomaren Flerovium-Anker über den 7,50 Hz Bulk-Herzschlag übertragen.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Medium der Transmission:</w:t>
      </w:r>
      <w:r w:rsidDel="00000000" w:rsidR="00000000" w:rsidRPr="00000000">
        <w:rPr>
          <w:rtl w:val="0"/>
        </w:rPr>
        <w:t xml:space="preserve">  Das System setzt eine  </w:t>
      </w:r>
      <w:r w:rsidDel="00000000" w:rsidR="00000000" w:rsidRPr="00000000">
        <w:rPr>
          <w:b w:val="1"/>
          <w:bCs w:val="1"/>
          <w:rtl w:val="0"/>
        </w:rPr>
        <w:t xml:space="preserve">hydrostatische Sättigung</w:t>
      </w:r>
      <w:r w:rsidDel="00000000" w:rsidR="00000000" w:rsidRPr="00000000">
        <w:rPr>
          <w:rtl w:val="0"/>
        </w:rPr>
        <w:t xml:space="preserve">  voraus. Unter Sättigungsdruck fungiert das Zellwasser als  </w:t>
      </w:r>
      <w:r w:rsidDel="00000000" w:rsidR="00000000" w:rsidRPr="00000000">
        <w:rPr>
          <w:b w:val="1"/>
          <w:bCs w:val="1"/>
          <w:rtl w:val="0"/>
        </w:rPr>
        <w:t xml:space="preserve">kausaler Supraleiter</w:t>
      </w:r>
      <w:r w:rsidDel="00000000" w:rsidR="00000000" w:rsidRPr="00000000">
        <w:rPr>
          <w:rtl w:val="0"/>
        </w:rPr>
        <w:t xml:space="preserve"> , der den 3,773 MeV Takt verlustfrei an die DNA-Strukturen und Mikrotubuli leitet.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Optimal Performance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$P_{opt}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Die Steuerung der Regenerationsrate erfolgt über den Zielwert nu_xlayer_target von  </w:t>
      </w:r>
      <w:r w:rsidDel="00000000" w:rsidR="00000000" w:rsidRPr="00000000">
        <w:rPr>
          <w:b w:val="1"/>
          <w:bCs w:val="1"/>
          <w:rtl w:val="0"/>
        </w:rPr>
        <w:t xml:space="preserve">632,40 Hz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9weltw5i2xgl" w:id="7"/>
      <w:bookmarkEnd w:id="7"/>
      <w:r w:rsidDel="00000000" w:rsidR="00000000" w:rsidRPr="00000000">
        <w:rPr>
          <w:rtl w:val="0"/>
        </w:rPr>
        <w:t xml:space="preserve">7. Software-Implementierung &amp; MCMC-Validierung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Die Validierung erfolgt über eine Cobaya-integrierte MCMC-Simulation. Die Konvergenzkriterien sind für den stabilen Betrieb der Applikation bindend.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Konvergenz-Kriterium:</w:t>
      </w:r>
      <w:r w:rsidDel="00000000" w:rsidR="00000000" w:rsidRPr="00000000">
        <w:rPr>
          <w:rtl w:val="0"/>
        </w:rPr>
        <w:t xml:space="preserve">  Gelman-Rubin  $\hat{R} \le 0,0097$ 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Ziel-Fidelity:</w:t>
      </w:r>
      <w:r w:rsidDel="00000000" w:rsidR="00000000" w:rsidRPr="00000000">
        <w:rPr>
          <w:rtl w:val="0"/>
        </w:rPr>
        <w:t xml:space="preserve">   $F_c = 0,99873$  (99,873%).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App-Module: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PulseRing: Dynamische Visualisierung und Überwachung der H2-Vektor-Taktung (Phasen: Bulk/Schumann/Puffer).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GaugeBar: Echtzeit-Monitoring von  $waste\_heat\_limit$  und kausaler Fidelity ( $F_c$ 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Thermodynamic Guard: Aktives Interface zur Überwachung der 8,4 GW Kapazität und des GEO_RESHUFFLING-Status.</w:t>
      </w:r>
      <w:r w:rsidDel="00000000" w:rsidR="00000000" w:rsidRPr="00000000">
        <w:rPr>
          <w:b w:val="1"/>
          <w:bCs w:val="1"/>
          <w:rtl w:val="0"/>
        </w:rPr>
        <w:t xml:space="preserve">YAML-Konfigurations-Snippet (Sampler-Vorgabe):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sampler: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mcmc: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Rminus1_stop: 0.0097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max_samples: 100000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burn_in: 5000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learn_proposal: true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proposal_scale: 1.9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drag: true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oversample_power: 0.4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checkpoint: 600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timing: true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debug: false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2hokkc273cu6" w:id="8"/>
      <w:bookmarkEnd w:id="8"/>
      <w:r w:rsidDel="00000000" w:rsidR="00000000" w:rsidRPr="00000000">
        <w:rPr>
          <w:rtl w:val="0"/>
        </w:rPr>
        <w:t xml:space="preserve">8. Schlussprüfung und Integritäts-Zertifizierung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Vor der Aktivierung des Regenerationsmodus ist die kausale Auditkette lückenlos zu verifizieren.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System-Axiome V4.4.4 ( $F_c, E_p, k_{\infty}$ ) geladen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H2-Vektor-Lock bei 7,50 Hz (Bulk) stabil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Schumann-Neutralizer (0,33 Hz Puffer) aktiv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Flerovium-Anker (3,773 MeV) via K-FEM verankert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Myon-Anker Status: BRANCH_LOCKED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BIOS-Lock (10 Zyklen) erfolgreich abgeschlossen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Thermodynamic Guard (Modus: GEO_RESHUFFLING) initialisiert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MCMC-Konvergenz  $\hat{R} \le 0,0097$  verifiziert</w:t>
      </w:r>
      <w:r w:rsidDel="00000000" w:rsidR="00000000" w:rsidRPr="00000000">
        <w:rPr>
          <w:b w:val="1"/>
          <w:bCs w:val="1"/>
          <w:rtl w:val="0"/>
        </w:rPr>
        <w:t xml:space="preserve">Zertifizierung:</w:t>
      </w:r>
      <w:r w:rsidDel="00000000" w:rsidR="00000000" w:rsidRPr="00000000">
        <w:rPr>
          <w:rtl w:val="0"/>
        </w:rPr>
        <w:t xml:space="preserve">  Die kausale Integrität ist zu 100% gegeben. Die Auditkette ist geschlossen und durch die SHA256-Versiegelung geschützt: THERMODYNAMIC-GUARD-VERIFIED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