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p9q4sm4lf1z" w:id="0"/>
      <w:bookmarkEnd w:id="0"/>
      <w:r w:rsidDel="00000000" w:rsidR="00000000" w:rsidRPr="00000000">
        <w:rPr>
          <w:rtl w:val="0"/>
        </w:rPr>
        <w:t xml:space="preserve">Technisches Implementierungsprotokoll: Numerische Integration der ERYQ-Feldgleichungen in K-FEM</w:t>
      </w:r>
    </w:p>
    <w:p w:rsidR="00000000" w:rsidDel="00000000" w:rsidP="00000000" w:rsidRDefault="00000000" w:rsidRPr="00000000" w14:paraId="00000002">
      <w:pPr>
        <w:pStyle w:val="Heading4"/>
        <w:rPr/>
      </w:pPr>
      <w:bookmarkStart w:colFirst="0" w:colLast="0" w:name="_c35ngd3vhoux" w:id="1"/>
      <w:bookmarkEnd w:id="1"/>
      <w:r w:rsidDel="00000000" w:rsidR="00000000" w:rsidRPr="00000000">
        <w:rPr>
          <w:rtl w:val="0"/>
        </w:rPr>
        <w:t xml:space="preserve">1. Theoretische Fundierung und mathematische Überführung (ERYQ-Transfer)</w:t>
      </w:r>
    </w:p>
    <w:p w:rsidR="00000000" w:rsidDel="00000000" w:rsidP="00000000" w:rsidRDefault="00000000" w:rsidRPr="00000000" w14:paraId="00000003">
      <w:pPr>
        <w:rPr/>
      </w:pPr>
      <w:r w:rsidDel="00000000" w:rsidR="00000000" w:rsidRPr="00000000">
        <w:rPr>
          <w:rtl w:val="0"/>
        </w:rPr>
        <w:t xml:space="preserve">Die Einstein-Kurzer-Gleichung (ERYQ) bildet das strategische Rückgrat für die mathematische Vereinigung der klassischen Allgemeinen Relativitätstheorie (GR) mit der Fraktalen Kausalen Theorie (FKT). Als primäre kosmologische Rechtfertigung dient die signifikante Diskrepanz der Hubble-Konstante ( $H_0$ -Tension), welche durch die ERYQ-Architektur kausal aufgelöst wird, indem sie die Raumzeit nicht länger als geschlossenes System, sondern als durch das Bulk-Feld beeinflusste Metrik begreift.Die Kernstruktur der erweiterten Feldgleichung lautet  $G_{\mu\nu} + \mathcal{F}</w:t>
      </w:r>
      <w:r w:rsidDel="00000000" w:rsidR="00000000" w:rsidRPr="00000000">
        <w:rPr>
          <w:i w:val="1"/>
          <w:iCs w:val="1"/>
          <w:rtl w:val="0"/>
        </w:rPr>
        <w:t xml:space="preserve">{\mu\nu} = 8\pi G T</w:t>
      </w:r>
      <w:r w:rsidDel="00000000" w:rsidR="00000000" w:rsidRPr="00000000">
        <w:rPr>
          <w:rtl w:val="0"/>
        </w:rPr>
        <w:t xml:space="preserve">{\mu\nu}$ , wobei der Fütterer-Kosmologie-Tensor  $\mathcal{F}</w:t>
      </w:r>
      <w:r w:rsidDel="00000000" w:rsidR="00000000" w:rsidRPr="00000000">
        <w:rPr>
          <w:i w:val="1"/>
          <w:iCs w:val="1"/>
          <w:rtl w:val="0"/>
        </w:rPr>
        <w:t xml:space="preserve">{\mu\nu}$  die kausale Lücke zwischen den Skalen schließt. Präzise definiert als  $\mathcal{F}</w:t>
      </w:r>
      <w:r w:rsidDel="00000000" w:rsidR="00000000" w:rsidRPr="00000000">
        <w:rPr>
          <w:rtl w:val="0"/>
        </w:rPr>
        <w:t xml:space="preserve">{\mu\nu} = \mathcal{C}</w:t>
      </w:r>
      <w:r w:rsidDel="00000000" w:rsidR="00000000" w:rsidRPr="00000000">
        <w:rPr>
          <w:i w:val="1"/>
          <w:iCs w:val="1"/>
          <w:rtl w:val="0"/>
        </w:rPr>
        <w:t xml:space="preserve">{\mu\nu} - \Lambda g</w:t>
      </w:r>
      <w:r w:rsidDel="00000000" w:rsidR="00000000" w:rsidRPr="00000000">
        <w:rPr>
          <w:rtl w:val="0"/>
        </w:rPr>
        <w:t xml:space="preserve">{\mu\nu}$ , integriert er sowohl den klassischen Lambda-Term als auch den dynamischen  $\mathcal{C}$ -Operator. Letzterer wird über die Kopplung  $\mathcal{C}</w:t>
      </w:r>
      <w:r w:rsidDel="00000000" w:rsidR="00000000" w:rsidRPr="00000000">
        <w:rPr>
          <w:i w:val="1"/>
          <w:iCs w:val="1"/>
          <w:rtl w:val="0"/>
        </w:rPr>
        <w:t xml:space="preserve">{\mu\nu} = \Omega(\rho)\Lambda</w:t>
      </w:r>
      <w:r w:rsidDel="00000000" w:rsidR="00000000" w:rsidRPr="00000000">
        <w:rPr>
          <w:rtl w:val="0"/>
        </w:rPr>
        <w:t xml:space="preserve">{\mu\nu}$  definiert, wobei die Skalierungsfunktion  $\Omega(\rho) = \Omega_0 (\rho/\rho_c)^{\alpha}$  eine lokale Dichteabhängigkeit einführt, die den Bulk-Beitrag sensitiv auf Massenkonzentrationen reagiert lässt.Die Krümmung der Raumzeitmetrik  $g_{\mu\nu}$  wird durch folgende physikalische Variablen des Modells determiniert:</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$m_{\Lambda}</w:t>
      </w:r>
      <w:r w:rsidDel="00000000" w:rsidR="00000000" w:rsidRPr="00000000">
        <w:rPr>
          <w:rtl w:val="0"/>
        </w:rPr>
        <w:t xml:space="preserve">$  </w:t>
      </w:r>
      <w:r w:rsidDel="00000000" w:rsidR="00000000" w:rsidRPr="00000000">
        <w:rPr>
          <w:b w:val="1"/>
          <w:bCs w:val="1"/>
          <w:rtl w:val="0"/>
        </w:rPr>
        <w:t xml:space="preserve">(Inertialterm):</w:t>
      </w:r>
      <w:r w:rsidDel="00000000" w:rsidR="00000000" w:rsidRPr="00000000">
        <w:rPr>
          <w:rtl w:val="0"/>
        </w:rPr>
        <w:t xml:space="preserve">  Kontrolliert die Trägheit des Feldes und die fundamentale Resonanzfrequenz.</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$\gamma</w:t>
      </w:r>
      <w:r w:rsidDel="00000000" w:rsidR="00000000" w:rsidRPr="00000000">
        <w:rPr>
          <w:rtl w:val="0"/>
        </w:rPr>
        <w:t xml:space="preserve">$  </w:t>
      </w:r>
      <w:r w:rsidDel="00000000" w:rsidR="00000000" w:rsidRPr="00000000">
        <w:rPr>
          <w:b w:val="1"/>
          <w:bCs w:val="1"/>
          <w:rtl w:val="0"/>
        </w:rPr>
        <w:t xml:space="preserve">(Divergenz-Kopplung):</w:t>
      </w:r>
      <w:r w:rsidDel="00000000" w:rsidR="00000000" w:rsidRPr="00000000">
        <w:rPr>
          <w:rtl w:val="0"/>
        </w:rPr>
        <w:t xml:space="preserve">  Steuert die Kopplung der Divergenzmoden und sichert die Konsistenz der Energie-Impuls-Erhaltung.</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$\kappa</w:t>
      </w:r>
      <w:r w:rsidDel="00000000" w:rsidR="00000000" w:rsidRPr="00000000">
        <w:rPr>
          <w:rtl w:val="0"/>
        </w:rPr>
        <w:t xml:space="preserve">$  </w:t>
      </w:r>
      <w:r w:rsidDel="00000000" w:rsidR="00000000" w:rsidRPr="00000000">
        <w:rPr>
          <w:b w:val="1"/>
          <w:bCs w:val="1"/>
          <w:rtl w:val="0"/>
        </w:rPr>
        <w:t xml:space="preserve">(Dämpfung/Relaxation):</w:t>
      </w:r>
      <w:r w:rsidDel="00000000" w:rsidR="00000000" w:rsidRPr="00000000">
        <w:rPr>
          <w:rtl w:val="0"/>
        </w:rPr>
        <w:t xml:space="preserve">  Repräsentiert die zeitliche Relaxation des Feldes im mitbewegten Rahmen.</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$\lambda_1</w:t>
      </w:r>
      <w:r w:rsidDel="00000000" w:rsidR="00000000" w:rsidRPr="00000000">
        <w:rPr>
          <w:rtl w:val="0"/>
        </w:rPr>
        <w:t xml:space="preserve">$  </w:t>
      </w:r>
      <w:r w:rsidDel="00000000" w:rsidR="00000000" w:rsidRPr="00000000">
        <w:rPr>
          <w:b w:val="1"/>
          <w:bCs w:val="1"/>
          <w:rtl w:val="0"/>
        </w:rPr>
        <w:t xml:space="preserve">(Nichtlineare Selbstkopplung):</w:t>
      </w:r>
      <w:r w:rsidDel="00000000" w:rsidR="00000000" w:rsidRPr="00000000">
        <w:rPr>
          <w:rtl w:val="0"/>
        </w:rPr>
        <w:t xml:space="preserve">  Kontrolliert die Amplitudenbegrenzung bei starken Feldanregungen und verhindert unphysikalische Divergenzen.Der Übergang von dieser kontinuierlichen Feldtheorie zur diskreten K-FEM-Architektur markiert den entscheidenden Schritt hin zur computergestützten Validierung und technischen Applikation.</w:t>
      </w:r>
    </w:p>
    <w:p w:rsidR="00000000" w:rsidDel="00000000" w:rsidP="00000000" w:rsidRDefault="00000000" w:rsidRPr="00000000" w14:paraId="00000008">
      <w:pPr>
        <w:pStyle w:val="Heading4"/>
        <w:rPr/>
      </w:pPr>
      <w:bookmarkStart w:colFirst="0" w:colLast="0" w:name="_omoqh451hkqd" w:id="2"/>
      <w:bookmarkEnd w:id="2"/>
      <w:r w:rsidDel="00000000" w:rsidR="00000000" w:rsidRPr="00000000">
        <w:rPr>
          <w:rtl w:val="0"/>
        </w:rPr>
        <w:t xml:space="preserve">2. Das K-FEM Framework: Architektonische Diskretisierung</w:t>
      </w:r>
    </w:p>
    <w:p w:rsidR="00000000" w:rsidDel="00000000" w:rsidP="00000000" w:rsidRDefault="00000000" w:rsidRPr="00000000" w14:paraId="00000009">
      <w:pPr>
        <w:rPr/>
      </w:pPr>
      <w:r w:rsidDel="00000000" w:rsidR="00000000" w:rsidRPr="00000000">
        <w:rPr>
          <w:rtl w:val="0"/>
        </w:rPr>
        <w:t xml:space="preserve">Die Notwendigkeit des K-FEM-Ansatzes (Kinetik-Finite-Elemente-Modell) ergibt sich aus der Komplexität fraktaler Metrikfehler und nicht-lokaler Kausalitäten, die herkömmliche Solver überfordern. Um die  $\Lambda_{\mu\nu}$ -Struktur präzise abzubilden, ist der Einsatz von High-Order FEM-Elementen (quadratische oder kubische Tensor-Elemente) zwingend erforderlich. In Regionen mit hohen Feldgradienten wird eine "Adaptive Mesh Refinement" (AMR) Strategie angewandt, um die numerische Auflösung lokal zu maximieren, ohne die globale Rechenlast unzulässig zu erhöhen.Die für die Simulation kritische 1+3-Zerlegung des  $\mathcal{C}$ -Tensors isoliert die physikalisch beobachtbaren Komponenten:| Komponente | Bezeichnung | Physikalische Entsprechung || ------ | ------ | ------ || $\rho_{\mathcal{C}}$ | Zeitartige Komponente | Effektive Bulk-Energiedichte || $P_{\mathcal{C}}$ | Isotroper Raumanteil | Bulk-Druckterm || $q_{\mu}$ | Wärmefluss (Heat flux) | Vektorieller Energieaustausch || $\pi_{\mu\nu}$ | Anisotrope Komponente | Scherspannungen des Bulk-Feldes |</w:t>
      </w:r>
    </w:p>
    <w:p w:rsidR="00000000" w:rsidDel="00000000" w:rsidP="00000000" w:rsidRDefault="00000000" w:rsidRPr="00000000" w14:paraId="0000000A">
      <w:pPr>
        <w:rPr/>
      </w:pPr>
      <w:r w:rsidDel="00000000" w:rsidR="00000000" w:rsidRPr="00000000">
        <w:rPr>
          <w:rtl w:val="0"/>
        </w:rPr>
        <w:t xml:space="preserve">Zur Vermeidung unphysikalischer Wellenreflexionen an den Simulationsrändern werden "Perfectly Matched Layers" (PML) implementiert, die abgestrahlte Energie ohne Rückstreuung absorbieren. Die numerische Integrität des Gesamtsystems steht und fällt mit einer kompromisslosen Stabilitätskontrolle während der Zeitintegration.</w:t>
      </w:r>
    </w:p>
    <w:p w:rsidR="00000000" w:rsidDel="00000000" w:rsidP="00000000" w:rsidRDefault="00000000" w:rsidRPr="00000000" w14:paraId="0000000B">
      <w:pPr>
        <w:pStyle w:val="Heading4"/>
        <w:rPr/>
      </w:pPr>
      <w:bookmarkStart w:colFirst="0" w:colLast="0" w:name="_lx6bnoynnq96" w:id="3"/>
      <w:bookmarkEnd w:id="3"/>
      <w:r w:rsidDel="00000000" w:rsidR="00000000" w:rsidRPr="00000000">
        <w:rPr>
          <w:rtl w:val="0"/>
        </w:rPr>
        <w:t xml:space="preserve">3. Dynamische Feldmodelle und Stabilitätsanalyse</w:t>
      </w:r>
    </w:p>
    <w:p w:rsidR="00000000" w:rsidDel="00000000" w:rsidP="00000000" w:rsidRDefault="00000000" w:rsidRPr="00000000" w14:paraId="0000000C">
      <w:pPr>
        <w:rPr/>
      </w:pPr>
      <w:r w:rsidDel="00000000" w:rsidR="00000000" w:rsidRPr="00000000">
        <w:rPr>
          <w:rtl w:val="0"/>
        </w:rPr>
        <w:t xml:space="preserve">Innerhalb der Simulation ist die Aufrechterhaltung der strikten Hyperbolizität für die Kausalitätserhaltung unverhandelbar. Die führenden Ableitungsoperatoren des Modells müssen so gewählt sein, dass superluminale Signalübertragungen ausgeschlossen werden. Der algorithmische Ablauf der Feldintegration folgt dem hyperbolischen Wellenmodell  $\Box\Lambda_{\mu\nu} + m_{\Lambda}^2 \Lambda_{\mu\nu} + \dots$  und nutzt fortschrittliche Integrationsverfahren wie das Newmark-Schema oder das Crank-Nicolson-Verfahren.Durch ein Operator-Splitting-Verfahren werden Inertial-, Kopplungs- und Dämpfungsterme separiert behandelt. Das Kausalitätskriterium  $v_g \le c$  muss zu jedem Zeitpunkt erfüllt sein; eine Verletzung führt zur sofortigen Terminierung der Simulation, da die numerische Integrität nicht länger garantiert werden kann. Für explizite Zeitschritte ist die Courant-Friedrichs-Lewy-Bedingung (CFL-Bedingung) der maßgebliche Stabilitätsparameter:  $$\Delta t \le \frac{\Delta x}{c_{\text{max}}}$$  Hierbei repräsentiert  $c_{\text{max}}$  die maximale Gruppengeschwindigkeit (Wellenfortpflanzungsgeschwindigkeit) im System. Diese Stabilitätsparameter bilden die Grundlage für die statistische Belastbarkeit der nachfolgenden Bayesianischen Inferenz.</w:t>
      </w:r>
    </w:p>
    <w:p w:rsidR="00000000" w:rsidDel="00000000" w:rsidP="00000000" w:rsidRDefault="00000000" w:rsidRPr="00000000" w14:paraId="0000000D">
      <w:pPr>
        <w:pStyle w:val="Heading4"/>
        <w:rPr/>
      </w:pPr>
      <w:bookmarkStart w:colFirst="0" w:colLast="0" w:name="_nl66cfx5tiw9" w:id="4"/>
      <w:bookmarkEnd w:id="4"/>
      <w:r w:rsidDel="00000000" w:rsidR="00000000" w:rsidRPr="00000000">
        <w:rPr>
          <w:rtl w:val="0"/>
        </w:rPr>
        <w:t xml:space="preserve">4. Konvergenzdiagnostik und Inferenz-Validierung</w:t>
      </w:r>
    </w:p>
    <w:p w:rsidR="00000000" w:rsidDel="00000000" w:rsidP="00000000" w:rsidRDefault="00000000" w:rsidRPr="00000000" w14:paraId="0000000E">
      <w:pPr>
        <w:rPr/>
      </w:pPr>
      <w:r w:rsidDel="00000000" w:rsidR="00000000" w:rsidRPr="00000000">
        <w:rPr>
          <w:rtl w:val="0"/>
        </w:rPr>
        <w:t xml:space="preserve">Die Bayesianische Inferenz via Markov Chain Monte Carlo (MCMC) ist das zentrale Werkzeug zur Kalibrierung der Bulk-Parameter. Hierbei werden die Posterior-Verteilungen für  $\Omega_{\text{Bulk}}, \log_{10}(m_{\Lambda}), \gamma, \kappa$  und  $\lambda_1$  gegen kosmologische und experimentelle Daten optimiert.Für die Inferenz gelten strikte Zielvorgaben: Die Gelman-Rubin-Statistik muss  $\hat{R} \le 1.01$  erreichen, und die effektive Stichprobengröße muss bei  $N_{\text{eff}} \ge 1000$  liegen. Die Posterior-Analyse dient insbesondere der Detektion von Parameter-Degenerationen zwischen dem Bulk-Beitrag  $\Omega_{\text{Bulk}}$  und klassischen Dunkle-Energie-Modellen. Zur Sicherstellung der Auditierbarkeit muss das "Repro-Pack" folgende Artefakte enthalten:</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Chains:</w:t>
      </w:r>
      <w:r w:rsidDel="00000000" w:rsidR="00000000" w:rsidRPr="00000000">
        <w:rPr>
          <w:rtl w:val="0"/>
        </w:rPr>
        <w:t xml:space="preserve">  Rohdaten der MCMC-Läufe (z. B. HDF5).</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Traceplots:</w:t>
      </w:r>
      <w:r w:rsidDel="00000000" w:rsidR="00000000" w:rsidRPr="00000000">
        <w:rPr>
          <w:rtl w:val="0"/>
        </w:rPr>
        <w:t xml:space="preserve">  Zur visuellen Prüfung der Stationarität.</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finalsummary.json:</w:t>
      </w:r>
      <w:r w:rsidDel="00000000" w:rsidR="00000000" w:rsidRPr="00000000">
        <w:rPr>
          <w:rtl w:val="0"/>
        </w:rPr>
        <w:t xml:space="preserve">  Beinhaltet Mediane, Konvergenzmetriken und den obligatorischen  </w:t>
      </w:r>
      <w:r w:rsidDel="00000000" w:rsidR="00000000" w:rsidRPr="00000000">
        <w:rPr>
          <w:b w:val="1"/>
          <w:bCs w:val="1"/>
          <w:rtl w:val="0"/>
        </w:rPr>
        <w:t xml:space="preserve">Environment-Hash</w:t>
      </w:r>
      <w:r w:rsidDel="00000000" w:rsidR="00000000" w:rsidRPr="00000000">
        <w:rPr>
          <w:rtl w:val="0"/>
        </w:rPr>
        <w:t xml:space="preserve"> .Die Validierung erfolgt final gegen den mikrophysikalischen Fixpunkt: den Flerovium-3.773 MeV Übergang (spezifiziert als  $0^+ \to 2^+$  E2-Übergang), der die Kopplung der Theorie an die Kernphysik verankert.</w:t>
      </w:r>
    </w:p>
    <w:p w:rsidR="00000000" w:rsidDel="00000000" w:rsidP="00000000" w:rsidRDefault="00000000" w:rsidRPr="00000000" w14:paraId="00000012">
      <w:pPr>
        <w:pStyle w:val="Heading4"/>
        <w:rPr/>
      </w:pPr>
      <w:bookmarkStart w:colFirst="0" w:colLast="0" w:name="_lvcht7fdze1v" w:id="5"/>
      <w:bookmarkEnd w:id="5"/>
      <w:r w:rsidDel="00000000" w:rsidR="00000000" w:rsidRPr="00000000">
        <w:rPr>
          <w:rtl w:val="0"/>
        </w:rPr>
        <w:t xml:space="preserve">5. Implementierungsprotokoll und Qualitätssicherung (Audit-Checkliste)</w:t>
      </w:r>
    </w:p>
    <w:p w:rsidR="00000000" w:rsidDel="00000000" w:rsidP="00000000" w:rsidRDefault="00000000" w:rsidRPr="00000000" w14:paraId="00000013">
      <w:pPr>
        <w:rPr/>
      </w:pPr>
      <w:r w:rsidDel="00000000" w:rsidR="00000000" w:rsidRPr="00000000">
        <w:rPr>
          <w:rtl w:val="0"/>
        </w:rPr>
        <w:t xml:space="preserve">Die lückenlose Auditierbarkeit im Sinne des "Kurzer-Prinzips" erfordert eine "Kausale Forensik", bei der jedes Ergebnis bis zu den fundamentalen Feldgleichungen zurückverfolgt werden kann. Ein kritischer Schwellenwert der Qualitätssicherung ist das Bulk-Energie-Fluss-Limit ( $\Delta_{\mathrm{BEFl}}$ ), welches als Regularisierungsbedingung dient, um kausale Inkonsistenzen zu begrenzen.Verbindliche Checkliste für Systementwickler:</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Symbolische Verifikation:</w:t>
      </w:r>
      <w:r w:rsidDel="00000000" w:rsidR="00000000" w:rsidRPr="00000000">
        <w:rPr>
          <w:rtl w:val="0"/>
        </w:rPr>
        <w:t xml:space="preserve">  Algebraischer Abgleich der Feldgleichungen mittels SymPy unter Verwendung des Scripts divergencelambdasympy_full.py.</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Integritätsprüfung:</w:t>
      </w:r>
      <w:r w:rsidDel="00000000" w:rsidR="00000000" w:rsidRPr="00000000">
        <w:rPr>
          <w:rtl w:val="0"/>
        </w:rPr>
        <w:t xml:space="preserve">  Generierung von SHA256-Hashes über den gesamten  </w:t>
      </w:r>
      <w:r w:rsidDel="00000000" w:rsidR="00000000" w:rsidRPr="00000000">
        <w:rPr>
          <w:b w:val="1"/>
          <w:bCs w:val="1"/>
          <w:rtl w:val="0"/>
        </w:rPr>
        <w:t xml:space="preserve">serialisierten Datensatz</w:t>
      </w:r>
      <w:r w:rsidDel="00000000" w:rsidR="00000000" w:rsidRPr="00000000">
        <w:rPr>
          <w:rtl w:val="0"/>
        </w:rPr>
        <w:t xml:space="preserve">  (Parameter, Logs, Konfigurationen und Ergebnisse).</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Monitoring des Quellterms:</w:t>
      </w:r>
      <w:r w:rsidDel="00000000" w:rsidR="00000000" w:rsidRPr="00000000">
        <w:rPr>
          <w:rtl w:val="0"/>
        </w:rPr>
        <w:t xml:space="preserve">  Kontinuierliche Überwachung von  $J_{\nu}^{\mathcal{C}}$  ( $\nabla^{\mu} \mathcal{C}</w:t>
      </w:r>
      <w:r w:rsidDel="00000000" w:rsidR="00000000" w:rsidRPr="00000000">
        <w:rPr>
          <w:i w:val="1"/>
          <w:iCs w:val="1"/>
          <w:rtl w:val="0"/>
        </w:rPr>
        <w:t xml:space="preserve">{\mu\nu} = J</w:t>
      </w:r>
      <w:r w:rsidDel="00000000" w:rsidR="00000000" w:rsidRPr="00000000">
        <w:rPr>
          <w:rtl w:val="0"/>
        </w:rPr>
        <w:t xml:space="preserve">{\nu}^{\mathcal{C}}$ ) zur Kontrolle der Energie-Impuls-Erhaltung.</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Environment-Freeze:</w:t>
      </w:r>
      <w:r w:rsidDel="00000000" w:rsidR="00000000" w:rsidRPr="00000000">
        <w:rPr>
          <w:rtl w:val="0"/>
        </w:rPr>
        <w:t xml:space="preserve">  Fixierung der Rechenumgebung via environment.yml.Nur die strikte Einhaltung dieser Audit-Anforderungen garantiert die wissenschaftliche Reproduzierbarkeit und bildet die Basis für den Übergang der FKT in die technische Anwendung.</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