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kmbkb7qbuiqn" w:id="0"/>
      <w:bookmarkEnd w:id="0"/>
      <w:r w:rsidDel="00000000" w:rsidR="00000000" w:rsidRPr="00000000">
        <w:rPr>
          <w:rtl w:val="0"/>
        </w:rPr>
        <w:t xml:space="preserve">Tesla’s Resonance and the Fractal Causal Theory: A Technical Synthesis</w:t>
      </w:r>
    </w:p>
    <w:p w:rsidR="00000000" w:rsidDel="00000000" w:rsidP="00000000" w:rsidRDefault="00000000" w:rsidRPr="00000000" w14:paraId="00000002">
      <w:pPr>
        <w:pStyle w:val="Heading5"/>
        <w:rPr/>
      </w:pPr>
      <w:bookmarkStart w:colFirst="0" w:colLast="0" w:name="_37w1l1mmlg1n" w:id="1"/>
      <w:bookmarkEnd w:id="1"/>
      <w:r w:rsidDel="00000000" w:rsidR="00000000" w:rsidRPr="00000000">
        <w:rPr>
          <w:rtl w:val="0"/>
        </w:rPr>
        <w:t xml:space="preserve">1. Introduction: The Frequency-Driven Paradigm Shift</w:t>
      </w:r>
    </w:p>
    <w:p w:rsidR="00000000" w:rsidDel="00000000" w:rsidP="00000000" w:rsidRDefault="00000000" w:rsidRPr="00000000" w14:paraId="00000003">
      <w:pPr>
        <w:rPr/>
      </w:pPr>
      <w:r w:rsidDel="00000000" w:rsidR="00000000" w:rsidRPr="00000000">
        <w:rPr>
          <w:rtl w:val="0"/>
        </w:rPr>
        <w:t xml:space="preserve">The transition from Nikola Tesla’s intuitive legacy of cosmic resonance to the mathematically "causally closed" framework of the Fractal Causal Theory (FKT V4.4.4) represents a strategic maturation of advanced propulsion physics. While Tesla correctly identified frequency and vibration as the fundamental "hardware" of the universe, his speculative insights lacked the rigorous metric formalism required for engineering-level application. FKT bridges this gap by introducing the Einstein-Kurzer-Gleichung (ERYQ), providing a formal bridge between classical resonance and toroidal  $\kappa$  coupling.The core mission of FKT is the final closure of the "causal gap"—the discrepancy between observed gravitational anomalies and Standard Model predictions. This objective is anchored in three strategic pillars:</w:t>
      </w:r>
    </w:p>
    <w:p w:rsidR="00000000" w:rsidDel="00000000" w:rsidP="00000000" w:rsidRDefault="00000000" w:rsidRPr="00000000" w14:paraId="00000004">
      <w:pPr>
        <w:numPr>
          <w:ilvl w:val="0"/>
          <w:numId w:val="2"/>
        </w:numPr>
        <w:ind w:left="720" w:hanging="360"/>
        <w:rPr>
          <w:u w:val="none"/>
        </w:rPr>
      </w:pPr>
      <w:r w:rsidDel="00000000" w:rsidR="00000000" w:rsidRPr="00000000">
        <w:rPr>
          <w:b w:val="1"/>
          <w:bCs w:val="1"/>
          <w:rtl w:val="0"/>
        </w:rPr>
        <w:t xml:space="preserve">Resolving the Hubble Tension:</w:t>
      </w:r>
      <w:r w:rsidDel="00000000" w:rsidR="00000000" w:rsidRPr="00000000">
        <w:rPr>
          <w:rtl w:val="0"/>
        </w:rPr>
        <w:t xml:space="preserve">  Overcoming the  $H_0$  discrepancy through dynamic vacuum adjustment within the Bran.</w:t>
      </w:r>
    </w:p>
    <w:p w:rsidR="00000000" w:rsidDel="00000000" w:rsidP="00000000" w:rsidRDefault="00000000" w:rsidRPr="00000000" w14:paraId="00000005">
      <w:pPr>
        <w:numPr>
          <w:ilvl w:val="0"/>
          <w:numId w:val="2"/>
        </w:numPr>
        <w:ind w:left="720" w:hanging="360"/>
        <w:rPr>
          <w:u w:val="none"/>
        </w:rPr>
      </w:pPr>
      <w:r w:rsidDel="00000000" w:rsidR="00000000" w:rsidRPr="00000000">
        <w:rPr>
          <w:b w:val="1"/>
          <w:bCs w:val="1"/>
          <w:rtl w:val="0"/>
        </w:rPr>
        <w:t xml:space="preserve">Geometrizing Dark Matter:</w:t>
      </w:r>
      <w:r w:rsidDel="00000000" w:rsidR="00000000" w:rsidRPr="00000000">
        <w:rPr>
          <w:rtl w:val="0"/>
        </w:rPr>
        <w:t xml:space="preserve">  Redefining Dark Matter as the constant "geometric pressure" ( $T_{Bulk}$ ) exerted by higher-dimensional architectures.</w:t>
      </w:r>
    </w:p>
    <w:p w:rsidR="00000000" w:rsidDel="00000000" w:rsidP="00000000" w:rsidRDefault="00000000" w:rsidRPr="00000000" w14:paraId="00000006">
      <w:pPr>
        <w:numPr>
          <w:ilvl w:val="0"/>
          <w:numId w:val="2"/>
        </w:numPr>
        <w:ind w:left="720" w:hanging="360"/>
        <w:rPr>
          <w:u w:val="none"/>
        </w:rPr>
      </w:pPr>
      <w:r w:rsidDel="00000000" w:rsidR="00000000" w:rsidRPr="00000000">
        <w:rPr>
          <w:b w:val="1"/>
          <w:bCs w:val="1"/>
          <w:rtl w:val="0"/>
        </w:rPr>
        <w:t xml:space="preserve">Synthesizing Scale Invariance:</w:t>
      </w:r>
      <w:r w:rsidDel="00000000" w:rsidR="00000000" w:rsidRPr="00000000">
        <w:rPr>
          <w:rtl w:val="0"/>
        </w:rPr>
        <w:t xml:space="preserve">  Establishing a "Kausale Auditkette" (Causal Audit Chain) that mathematically locks subatomic nuclear stability to macroscopic cosmological evolution.</w:t>
      </w:r>
    </w:p>
    <w:p w:rsidR="00000000" w:rsidDel="00000000" w:rsidP="00000000" w:rsidRDefault="00000000" w:rsidRPr="00000000" w14:paraId="00000007">
      <w:pPr>
        <w:pStyle w:val="Heading5"/>
        <w:rPr/>
      </w:pPr>
      <w:bookmarkStart w:colFirst="0" w:colLast="0" w:name="_5swx16ovuc5x" w:id="2"/>
      <w:bookmarkEnd w:id="2"/>
      <w:r w:rsidDel="00000000" w:rsidR="00000000" w:rsidRPr="00000000">
        <w:rPr>
          <w:rtl w:val="0"/>
        </w:rPr>
        <w:t xml:space="preserve">2. The Mathematical Foundation: The Extended Einstein-Kurzer Equation (ERYQ)</w:t>
      </w:r>
    </w:p>
    <w:p w:rsidR="00000000" w:rsidDel="00000000" w:rsidP="00000000" w:rsidRDefault="00000000" w:rsidRPr="00000000" w14:paraId="00000008">
      <w:pPr>
        <w:rPr/>
      </w:pPr>
      <w:r w:rsidDel="00000000" w:rsidR="00000000" w:rsidRPr="00000000">
        <w:rPr>
          <w:rtl w:val="0"/>
        </w:rPr>
        <w:t xml:space="preserve">The persistent Hubble Tension and the failure to detect WIMPs indicate that General Relativity (GR) is a low-energy limit of a more complex fractal causality. The FKT extension addresses this by incorporating the  </w:t>
      </w:r>
      <w:r w:rsidDel="00000000" w:rsidR="00000000" w:rsidRPr="00000000">
        <w:rPr>
          <w:b w:val="1"/>
          <w:bCs w:val="1"/>
          <w:rtl w:val="0"/>
        </w:rPr>
        <w:t xml:space="preserve">Kurzer-Korrekturterm</w:t>
      </w:r>
      <w:r w:rsidDel="00000000" w:rsidR="00000000" w:rsidRPr="00000000">
        <w:rPr>
          <w:rtl w:val="0"/>
        </w:rPr>
        <w:t xml:space="preserve">  ( $\oplus_{\mu\nu}$ ), formally known as the Bulk Tensor, which accounts for metric leakage from higher dimensions into our 4D Bran.The central ERYQ equation is formulated as:  $$G_{\mu\nu} = \kappa(T_{\mu\nu} + T_{Bulk})$$  Alternatively, to highlight the closure of the causal gap:  $G_{\mu\nu} + \mathcal{F}</w:t>
      </w:r>
      <w:r w:rsidDel="00000000" w:rsidR="00000000" w:rsidRPr="00000000">
        <w:rPr>
          <w:i w:val="1"/>
          <w:iCs w:val="1"/>
          <w:rtl w:val="0"/>
        </w:rPr>
        <w:t xml:space="preserve">{\mu\nu} = 8\pi G T</w:t>
      </w:r>
      <w:r w:rsidDel="00000000" w:rsidR="00000000" w:rsidRPr="00000000">
        <w:rPr>
          <w:rtl w:val="0"/>
        </w:rPr>
        <w:t xml:space="preserve">{\mu\nu}$ , where  $\mathcal{F}</w:t>
      </w:r>
      <w:r w:rsidDel="00000000" w:rsidR="00000000" w:rsidRPr="00000000">
        <w:rPr>
          <w:i w:val="1"/>
          <w:iCs w:val="1"/>
          <w:rtl w:val="0"/>
        </w:rPr>
        <w:t xml:space="preserve">{\mu\nu}$  represents the geometric correction required to achieve causal integrity.| Variable | Physical Interpretation || ------ | ------ || $G</w:t>
      </w:r>
      <w:r w:rsidDel="00000000" w:rsidR="00000000" w:rsidRPr="00000000">
        <w:rPr>
          <w:rtl w:val="0"/>
        </w:rPr>
        <w:t xml:space="preserve">{\mu\nu}$ | </w:t>
      </w:r>
      <w:r w:rsidDel="00000000" w:rsidR="00000000" w:rsidRPr="00000000">
        <w:rPr>
          <w:b w:val="1"/>
          <w:bCs w:val="1"/>
          <w:rtl w:val="0"/>
        </w:rPr>
        <w:t xml:space="preserve">Einstein Tensor</w:t>
      </w:r>
      <w:r w:rsidDel="00000000" w:rsidR="00000000" w:rsidRPr="00000000">
        <w:rPr>
          <w:rtl w:val="0"/>
        </w:rPr>
        <w:t xml:space="preserve"> : Describes the curvature and geometry of 4D spacetime. || $\kappa$ | </w:t>
      </w:r>
      <w:r w:rsidDel="00000000" w:rsidR="00000000" w:rsidRPr="00000000">
        <w:rPr>
          <w:b w:val="1"/>
          <w:bCs w:val="1"/>
          <w:rtl w:val="0"/>
        </w:rPr>
        <w:t xml:space="preserve">Einstein-Gravitationskonstante</w:t>
      </w:r>
      <w:r w:rsidDel="00000000" w:rsidR="00000000" w:rsidRPr="00000000">
        <w:rPr>
          <w:rtl w:val="0"/>
        </w:rPr>
        <w:t xml:space="preserve"> : Defined as  $\frac{8\pi G}{c^4}$ . || $T_{\mu\nu}$ | </w:t>
      </w:r>
      <w:r w:rsidDel="00000000" w:rsidR="00000000" w:rsidRPr="00000000">
        <w:rPr>
          <w:b w:val="1"/>
          <w:bCs w:val="1"/>
          <w:rtl w:val="0"/>
        </w:rPr>
        <w:t xml:space="preserve">Energy-Momentum Tensor</w:t>
      </w:r>
      <w:r w:rsidDel="00000000" w:rsidR="00000000" w:rsidRPr="00000000">
        <w:rPr>
          <w:rtl w:val="0"/>
        </w:rPr>
        <w:t xml:space="preserve"> : Represents standard matter-energy within the Bran. || $T_{Bulk}$ | </w:t>
      </w:r>
      <w:r w:rsidDel="00000000" w:rsidR="00000000" w:rsidRPr="00000000">
        <w:rPr>
          <w:b w:val="1"/>
          <w:bCs w:val="1"/>
          <w:rtl w:val="0"/>
        </w:rPr>
        <w:t xml:space="preserve">Bulk Tensor (</w:t>
      </w:r>
      <w:r w:rsidDel="00000000" w:rsidR="00000000" w:rsidRPr="00000000">
        <w:rPr>
          <w:rtl w:val="0"/>
        </w:rPr>
        <w:t xml:space="preserve">  </w:t>
      </w:r>
      <w:r w:rsidDel="00000000" w:rsidR="00000000" w:rsidRPr="00000000">
        <w:rPr>
          <w:b w:val="1"/>
          <w:bCs w:val="1"/>
          <w:rtl w:val="0"/>
        </w:rPr>
        <w:t xml:space="preserve">$\oplus_{\mu\nu}</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 Geometric pressure where  $T_{Bulk} \propto 1/D_{Bran}$ . |</w:t>
      </w:r>
    </w:p>
    <w:p w:rsidR="00000000" w:rsidDel="00000000" w:rsidP="00000000" w:rsidRDefault="00000000" w:rsidRPr="00000000" w14:paraId="00000009">
      <w:pPr>
        <w:rPr/>
      </w:pPr>
      <w:r w:rsidDel="00000000" w:rsidR="00000000" w:rsidRPr="00000000">
        <w:rPr>
          <w:rtl w:val="0"/>
        </w:rPr>
        <w:t xml:space="preserve">A pivotal innovation of FKT V4.4.4 is the  </w:t>
      </w:r>
      <w:r w:rsidDel="00000000" w:rsidR="00000000" w:rsidRPr="00000000">
        <w:rPr>
          <w:b w:val="1"/>
          <w:bCs w:val="1"/>
          <w:rtl w:val="0"/>
        </w:rPr>
        <w:t xml:space="preserve">C-Operator</w:t>
      </w:r>
      <w:r w:rsidDel="00000000" w:rsidR="00000000" w:rsidRPr="00000000">
        <w:rPr>
          <w:rtl w:val="0"/>
        </w:rPr>
        <w:t xml:space="preserve"> , a non-linear operator that acts upon the  </w:t>
      </w:r>
      <w:r w:rsidDel="00000000" w:rsidR="00000000" w:rsidRPr="00000000">
        <w:rPr>
          <w:b w:val="1"/>
          <w:bCs w:val="1"/>
          <w:rtl w:val="0"/>
        </w:rPr>
        <w:t xml:space="preserve">Structure Matrix</w:t>
      </w:r>
      <w:r w:rsidDel="00000000" w:rsidR="00000000" w:rsidRPr="00000000">
        <w:rPr>
          <w:rtl w:val="0"/>
        </w:rPr>
        <w:t xml:space="preserve">  to map the "Hardware of the Universe." This operator manages "Fractal Self-Similarity," ensuring that causal structures at the microscopic scale are mirrored in galactic rotation curves. Through this mechanism,  $T_{Bulk}$  manifests as an "echo" that is dominant at galactic edges (low  $D_{Bran}$ ) but negligible in high-density local environments.</w:t>
      </w:r>
    </w:p>
    <w:p w:rsidR="00000000" w:rsidDel="00000000" w:rsidP="00000000" w:rsidRDefault="00000000" w:rsidRPr="00000000" w14:paraId="0000000A">
      <w:pPr>
        <w:pStyle w:val="Heading5"/>
        <w:rPr/>
      </w:pPr>
      <w:bookmarkStart w:colFirst="0" w:colLast="0" w:name="_hvfkrapgclaa" w:id="3"/>
      <w:bookmarkEnd w:id="3"/>
      <w:r w:rsidDel="00000000" w:rsidR="00000000" w:rsidRPr="00000000">
        <w:rPr>
          <w:rtl w:val="0"/>
        </w:rPr>
        <w:t xml:space="preserve">3. Universal Taktung: Frequency Synchronicity and the H2-Vector</w:t>
      </w:r>
    </w:p>
    <w:p w:rsidR="00000000" w:rsidDel="00000000" w:rsidP="00000000" w:rsidRDefault="00000000" w:rsidRPr="00000000" w14:paraId="0000000B">
      <w:pPr>
        <w:rPr/>
      </w:pPr>
      <w:r w:rsidDel="00000000" w:rsidR="00000000" w:rsidRPr="00000000">
        <w:rPr>
          <w:rtl w:val="0"/>
        </w:rPr>
        <w:t xml:space="preserve">Stabilizing the coupling between the Bran and the Bulk requires a high-precision frequency lock. This is achieved via the  </w:t>
      </w:r>
      <w:r w:rsidDel="00000000" w:rsidR="00000000" w:rsidRPr="00000000">
        <w:rPr>
          <w:b w:val="1"/>
          <w:bCs w:val="1"/>
          <w:rtl w:val="0"/>
        </w:rPr>
        <w:t xml:space="preserve">H2-Vector</w:t>
      </w:r>
      <w:r w:rsidDel="00000000" w:rsidR="00000000" w:rsidRPr="00000000">
        <w:rPr>
          <w:rtl w:val="0"/>
        </w:rPr>
        <w:t xml:space="preserve"> , which ensures a "Permanent-Lock" with the universal heartbeat. FKT identifies a Frequency Triad essential for this synchronization:</w:t>
      </w:r>
    </w:p>
    <w:p w:rsidR="00000000" w:rsidDel="00000000" w:rsidP="00000000" w:rsidRDefault="00000000" w:rsidRPr="00000000" w14:paraId="0000000C">
      <w:pPr>
        <w:numPr>
          <w:ilvl w:val="0"/>
          <w:numId w:val="3"/>
        </w:numPr>
        <w:ind w:left="720" w:hanging="360"/>
        <w:rPr>
          <w:u w:val="none"/>
        </w:rPr>
      </w:pPr>
      <w:r w:rsidDel="00000000" w:rsidR="00000000" w:rsidRPr="00000000">
        <w:rPr>
          <w:b w:val="1"/>
          <w:bCs w:val="1"/>
          <w:rtl w:val="0"/>
        </w:rPr>
        <w:t xml:space="preserve">7.50 Hz (Bulk Heartbeat):</w:t>
      </w:r>
      <w:r w:rsidDel="00000000" w:rsidR="00000000" w:rsidRPr="00000000">
        <w:rPr>
          <w:rtl w:val="0"/>
        </w:rPr>
        <w:t xml:space="preserve">  The active H2-Sync frequency, acting as the fundamental pulse of the Bulk-Bran interface.</w:t>
      </w:r>
    </w:p>
    <w:p w:rsidR="00000000" w:rsidDel="00000000" w:rsidP="00000000" w:rsidRDefault="00000000" w:rsidRPr="00000000" w14:paraId="0000000D">
      <w:pPr>
        <w:numPr>
          <w:ilvl w:val="0"/>
          <w:numId w:val="3"/>
        </w:numPr>
        <w:ind w:left="720" w:hanging="360"/>
        <w:rPr>
          <w:u w:val="none"/>
        </w:rPr>
      </w:pPr>
      <w:r w:rsidDel="00000000" w:rsidR="00000000" w:rsidRPr="00000000">
        <w:rPr>
          <w:b w:val="1"/>
          <w:bCs w:val="1"/>
          <w:rtl w:val="0"/>
        </w:rPr>
        <w:t xml:space="preserve">7.83 Hz (Schumann Resonance):</w:t>
      </w:r>
      <w:r w:rsidDel="00000000" w:rsidR="00000000" w:rsidRPr="00000000">
        <w:rPr>
          <w:rtl w:val="0"/>
        </w:rPr>
        <w:t xml:space="preserve">  The "Earth Neutralizer," the natural baseline for the planetary electromagnetic environment.</w:t>
      </w:r>
    </w:p>
    <w:p w:rsidR="00000000" w:rsidDel="00000000" w:rsidP="00000000" w:rsidRDefault="00000000" w:rsidRPr="00000000" w14:paraId="0000000E">
      <w:pPr>
        <w:numPr>
          <w:ilvl w:val="0"/>
          <w:numId w:val="3"/>
        </w:numPr>
        <w:ind w:left="720" w:hanging="360"/>
        <w:rPr>
          <w:u w:val="none"/>
        </w:rPr>
      </w:pPr>
      <w:r w:rsidDel="00000000" w:rsidR="00000000" w:rsidRPr="00000000">
        <w:rPr>
          <w:b w:val="1"/>
          <w:bCs w:val="1"/>
          <w:rtl w:val="0"/>
        </w:rPr>
        <w:t xml:space="preserve">0.33 Hz (Telluric Modem Delta):</w:t>
      </w:r>
      <w:r w:rsidDel="00000000" w:rsidR="00000000" w:rsidRPr="00000000">
        <w:rPr>
          <w:rtl w:val="0"/>
        </w:rPr>
        <w:t xml:space="preserve">  The critical mathematical buffer between terrestrial and cosmic resonance.This 0.33 Hz delta is not a mere byproduct; it acts as a  </w:t>
      </w:r>
      <w:r w:rsidDel="00000000" w:rsidR="00000000" w:rsidRPr="00000000">
        <w:rPr>
          <w:b w:val="1"/>
          <w:bCs w:val="1"/>
          <w:rtl w:val="0"/>
        </w:rPr>
        <w:t xml:space="preserve">Telluric Modem</w:t>
      </w:r>
      <w:r w:rsidDel="00000000" w:rsidR="00000000" w:rsidRPr="00000000">
        <w:rPr>
          <w:rtl w:val="0"/>
        </w:rPr>
        <w:t xml:space="preserve"> , a communication interface that allows the planetary metric to interact with higher-dimensional Bulk dynamics without structural collapse. By maintaining this specific delta, information and energy are filtered into the 4D environment as coherent signals rather than chaotic metric fluctuations.</w:t>
      </w:r>
    </w:p>
    <w:p w:rsidR="00000000" w:rsidDel="00000000" w:rsidP="00000000" w:rsidRDefault="00000000" w:rsidRPr="00000000" w14:paraId="0000000F">
      <w:pPr>
        <w:pStyle w:val="Heading5"/>
        <w:rPr/>
      </w:pPr>
      <w:bookmarkStart w:colFirst="0" w:colLast="0" w:name="_l2hoiir7rk93" w:id="4"/>
      <w:bookmarkEnd w:id="4"/>
      <w:r w:rsidDel="00000000" w:rsidR="00000000" w:rsidRPr="00000000">
        <w:rPr>
          <w:rtl w:val="0"/>
        </w:rPr>
        <w:t xml:space="preserve">4. The Flerovium Hypothesis: The Empirical Anchor</w:t>
      </w:r>
    </w:p>
    <w:p w:rsidR="00000000" w:rsidDel="00000000" w:rsidP="00000000" w:rsidRDefault="00000000" w:rsidRPr="00000000" w14:paraId="00000010">
      <w:pPr>
        <w:rPr/>
      </w:pPr>
      <w:r w:rsidDel="00000000" w:rsidR="00000000" w:rsidRPr="00000000">
        <w:rPr>
          <w:rtl w:val="0"/>
        </w:rPr>
        <w:t xml:space="preserve">The "Lackmustest" for the FKT framework resides in the subatomic realm. If the Bulk exerts a geometric pressure, it must be measurable as an anomalous shift in the binding energy of superheavy nuclei. Flerovium (Z=114) serves as the "Nuclear Anker" due to its proximity to the "Island of Stability," making it a perfect  </w:t>
      </w:r>
      <w:r w:rsidDel="00000000" w:rsidR="00000000" w:rsidRPr="00000000">
        <w:rPr>
          <w:b w:val="1"/>
          <w:bCs w:val="1"/>
          <w:rtl w:val="0"/>
        </w:rPr>
        <w:t xml:space="preserve">Bulk Resonator</w:t>
      </w:r>
      <w:r w:rsidDel="00000000" w:rsidR="00000000" w:rsidRPr="00000000">
        <w:rPr>
          <w:rtl w:val="0"/>
        </w:rPr>
        <w:t xml:space="preserve"> .The theory predicts a specific  </w:t>
      </w:r>
      <w:r w:rsidDel="00000000" w:rsidR="00000000" w:rsidRPr="00000000">
        <w:rPr>
          <w:b w:val="1"/>
          <w:bCs w:val="1"/>
          <w:rtl w:val="0"/>
        </w:rPr>
        <w:t xml:space="preserve">3.773 MeV Gamma-Line</w:t>
      </w:r>
      <w:r w:rsidDel="00000000" w:rsidR="00000000" w:rsidRPr="00000000">
        <w:rPr>
          <w:rtl w:val="0"/>
        </w:rPr>
        <w:t xml:space="preserve"> , arising from a  </w:t>
      </w:r>
      <w:r w:rsidDel="00000000" w:rsidR="00000000" w:rsidRPr="00000000">
        <w:rPr>
          <w:b w:val="1"/>
          <w:bCs w:val="1"/>
          <w:rtl w:val="0"/>
        </w:rPr>
        <w:t xml:space="preserve">quadrupole nuclear vibration</w:t>
      </w:r>
      <w:r w:rsidDel="00000000" w:rsidR="00000000" w:rsidRPr="00000000">
        <w:rPr>
          <w:rtl w:val="0"/>
        </w:rPr>
        <w:t xml:space="preserve">  during the  $2+ \to 0+$  state transition in Fl-298. To ensure mathematical rigor, a  </w:t>
      </w:r>
      <w:r w:rsidDel="00000000" w:rsidR="00000000" w:rsidRPr="00000000">
        <w:rPr>
          <w:b w:val="1"/>
          <w:bCs w:val="1"/>
          <w:rtl w:val="0"/>
        </w:rPr>
        <w:t xml:space="preserve">Monte-Carlo-Bootstrap-Analyse with 10,000 iterations</w:t>
      </w:r>
      <w:r w:rsidDel="00000000" w:rsidR="00000000" w:rsidRPr="00000000">
        <w:rPr>
          <w:rtl w:val="0"/>
        </w:rPr>
        <w:t xml:space="preserve">  was performed to quantify the 95% Confidence Interval:  $$\text{Expected } E_\gamma \in 3.745 \text{ MeV}, 3.802 \text{ MeV}$$This nuclear transition provides the first empirical evidence of Bulk-Bran coupling. A successful detection of this line confirms that the "Hardware" of the subatomic world is directly tuned to the same  $T_{Bulk}$  pressure that governs the rotation of spiral galaxies.</w:t>
      </w:r>
    </w:p>
    <w:p w:rsidR="00000000" w:rsidDel="00000000" w:rsidP="00000000" w:rsidRDefault="00000000" w:rsidRPr="00000000" w14:paraId="00000011">
      <w:pPr>
        <w:pStyle w:val="Heading5"/>
        <w:rPr/>
      </w:pPr>
      <w:bookmarkStart w:colFirst="0" w:colLast="0" w:name="_xoyji52lxi6z" w:id="5"/>
      <w:bookmarkEnd w:id="5"/>
      <w:r w:rsidDel="00000000" w:rsidR="00000000" w:rsidRPr="00000000">
        <w:rPr>
          <w:rtl w:val="0"/>
        </w:rPr>
        <w:t xml:space="preserve">5. The Gravitationsmanipulationsantrieb (GMA): Engineering the Hyperraum</w:t>
      </w:r>
    </w:p>
    <w:p w:rsidR="00000000" w:rsidDel="00000000" w:rsidP="00000000" w:rsidRDefault="00000000" w:rsidRPr="00000000" w14:paraId="00000012">
      <w:pPr>
        <w:rPr/>
      </w:pPr>
      <w:r w:rsidDel="00000000" w:rsidR="00000000" w:rsidRPr="00000000">
        <w:rPr>
          <w:rtl w:val="0"/>
        </w:rPr>
        <w:t xml:space="preserve">The GMA represents a non-reactionary propulsion paradigm that bypasses the thrust-limited constraints of the Standard Model. It utilizes controlled metric fluctuations to create a "Warp-bubble," governed by the relationship between curvature density ( $R$ ) and the  </w:t>
      </w:r>
      <w:r w:rsidDel="00000000" w:rsidR="00000000" w:rsidRPr="00000000">
        <w:rPr>
          <w:b w:val="1"/>
          <w:bCs w:val="1"/>
          <w:rtl w:val="0"/>
        </w:rPr>
        <w:t xml:space="preserve">CGMA constant</w:t>
      </w:r>
      <w:r w:rsidDel="00000000" w:rsidR="00000000" w:rsidRPr="00000000">
        <w:rPr>
          <w:rtl w:val="0"/>
        </w:rPr>
        <w:t xml:space="preserve"> .The  </w:t>
      </w:r>
      <w:r w:rsidDel="00000000" w:rsidR="00000000" w:rsidRPr="00000000">
        <w:rPr>
          <w:b w:val="1"/>
          <w:bCs w:val="1"/>
          <w:rtl w:val="0"/>
        </w:rPr>
        <w:t xml:space="preserve">CGMA constant</w:t>
      </w:r>
      <w:r w:rsidDel="00000000" w:rsidR="00000000" w:rsidRPr="00000000">
        <w:rPr>
          <w:rtl w:val="0"/>
        </w:rPr>
        <w:t xml:space="preserve">  is derived from fundamental physical constants:  $$CGMA = \left( \frac{G^2 \cdot \hbar^2}{c^{11}} \right) \cdot \ell_P$$Key performance metrics for GMA systems include:</w:t>
      </w:r>
    </w:p>
    <w:p w:rsidR="00000000" w:rsidDel="00000000" w:rsidP="00000000" w:rsidRDefault="00000000" w:rsidRPr="00000000" w14:paraId="00000013">
      <w:pPr>
        <w:numPr>
          <w:ilvl w:val="0"/>
          <w:numId w:val="1"/>
        </w:numPr>
        <w:ind w:left="720" w:hanging="360"/>
        <w:rPr>
          <w:u w:val="none"/>
        </w:rPr>
      </w:pPr>
      <w:r w:rsidDel="00000000" w:rsidR="00000000" w:rsidRPr="00000000">
        <w:rPr>
          <w:b w:val="1"/>
          <w:bCs w:val="1"/>
          <w:rtl w:val="0"/>
        </w:rPr>
        <w:t xml:space="preserve">Rückstellzeit (Recovery Time):</w:t>
      </w:r>
      <w:r w:rsidDel="00000000" w:rsidR="00000000" w:rsidRPr="00000000">
        <w:rPr>
          <w:rtl w:val="0"/>
        </w:rPr>
        <w:t xml:space="preserve">  50x faster metric restoration compared to conventional shape-memory alloys (SMA) like Nitinol.</w:t>
      </w:r>
    </w:p>
    <w:p w:rsidR="00000000" w:rsidDel="00000000" w:rsidP="00000000" w:rsidRDefault="00000000" w:rsidRPr="00000000" w14:paraId="00000014">
      <w:pPr>
        <w:numPr>
          <w:ilvl w:val="0"/>
          <w:numId w:val="1"/>
        </w:numPr>
        <w:ind w:left="720" w:hanging="360"/>
        <w:rPr>
          <w:u w:val="none"/>
        </w:rPr>
      </w:pPr>
      <w:r w:rsidDel="00000000" w:rsidR="00000000" w:rsidRPr="00000000">
        <w:rPr>
          <w:b w:val="1"/>
          <w:bCs w:val="1"/>
          <w:rtl w:val="0"/>
        </w:rPr>
        <w:t xml:space="preserve">Energy Efficiency:</w:t>
      </w:r>
      <w:r w:rsidDel="00000000" w:rsidR="00000000" w:rsidRPr="00000000">
        <w:rPr>
          <w:rtl w:val="0"/>
        </w:rPr>
        <w:t xml:space="preserve">  A 1.2 million-fold increase over traditional thermal propulsion systems.</w:t>
      </w:r>
    </w:p>
    <w:p w:rsidR="00000000" w:rsidDel="00000000" w:rsidP="00000000" w:rsidRDefault="00000000" w:rsidRPr="00000000" w14:paraId="00000015">
      <w:pPr>
        <w:numPr>
          <w:ilvl w:val="0"/>
          <w:numId w:val="1"/>
        </w:numPr>
        <w:ind w:left="720" w:hanging="360"/>
        <w:rPr>
          <w:u w:val="none"/>
        </w:rPr>
      </w:pPr>
      <w:r w:rsidDel="00000000" w:rsidR="00000000" w:rsidRPr="00000000">
        <w:rPr>
          <w:b w:val="1"/>
          <w:bCs w:val="1"/>
          <w:rtl w:val="0"/>
        </w:rPr>
        <w:t xml:space="preserve">Thermodynamics (Geo-Reshuffling):</w:t>
      </w:r>
      <w:r w:rsidDel="00000000" w:rsidR="00000000" w:rsidRPr="00000000">
        <w:rPr>
          <w:rtl w:val="0"/>
        </w:rPr>
        <w:t xml:space="preserve">  Utilizing the  </w:t>
      </w:r>
      <w:r w:rsidDel="00000000" w:rsidR="00000000" w:rsidRPr="00000000">
        <w:rPr>
          <w:b w:val="1"/>
          <w:bCs w:val="1"/>
          <w:rtl w:val="0"/>
        </w:rPr>
        <w:t xml:space="preserve">GEO_RESHUFFLING</w:t>
      </w:r>
      <w:r w:rsidDel="00000000" w:rsidR="00000000" w:rsidRPr="00000000">
        <w:rPr>
          <w:rtl w:val="0"/>
        </w:rPr>
        <w:t xml:space="preserve">  mode, waste heat is geometrically reshuffled into the Bulk to maintain a zero-entropy state ( $\Delta S_{metric} \equiv 0$ ). This process is capped at the entropic limit of  $0.00127 E_p$ .</w:t>
      </w:r>
    </w:p>
    <w:p w:rsidR="00000000" w:rsidDel="00000000" w:rsidP="00000000" w:rsidRDefault="00000000" w:rsidRPr="00000000" w14:paraId="00000016">
      <w:pPr>
        <w:pStyle w:val="Heading5"/>
        <w:rPr/>
      </w:pPr>
      <w:bookmarkStart w:colFirst="0" w:colLast="0" w:name="_lxg6sl5cgn9o" w:id="6"/>
      <w:bookmarkEnd w:id="6"/>
      <w:r w:rsidDel="00000000" w:rsidR="00000000" w:rsidRPr="00000000">
        <w:rPr>
          <w:rtl w:val="0"/>
        </w:rPr>
        <w:t xml:space="preserve">6. Civilizational Imperative: Typ II Status and the Dyson Structure</w:t>
      </w:r>
    </w:p>
    <w:p w:rsidR="00000000" w:rsidDel="00000000" w:rsidP="00000000" w:rsidRDefault="00000000" w:rsidRPr="00000000" w14:paraId="00000017">
      <w:pPr>
        <w:rPr/>
      </w:pPr>
      <w:r w:rsidDel="00000000" w:rsidR="00000000" w:rsidRPr="00000000">
        <w:rPr>
          <w:rtl w:val="0"/>
        </w:rPr>
        <w:t xml:space="preserve">FKT V4.4.4 dictates that interstellar travel is not merely a technical challenge but an evolutionary milestone. The energy required to maintain the Verschränkungs-Resonator (Entanglement Resonator) for a GMA warp-field is  </w:t>
      </w:r>
      <w:r w:rsidDel="00000000" w:rsidR="00000000" w:rsidRPr="00000000">
        <w:rPr>
          <w:b w:val="1"/>
          <w:bCs w:val="1"/>
          <w:rtl w:val="0"/>
        </w:rPr>
        <w:t xml:space="preserve">unverhandelbar</w:t>
      </w:r>
      <w:r w:rsidDel="00000000" w:rsidR="00000000" w:rsidRPr="00000000">
        <w:rPr>
          <w:rtl w:val="0"/>
        </w:rPr>
        <w:t xml:space="preserve">  (non-negotiable).A  </w:t>
      </w:r>
      <w:r w:rsidDel="00000000" w:rsidR="00000000" w:rsidRPr="00000000">
        <w:rPr>
          <w:b w:val="1"/>
          <w:bCs w:val="1"/>
          <w:rtl w:val="0"/>
        </w:rPr>
        <w:t xml:space="preserve">Dyson-Schwarm</w:t>
      </w:r>
      <w:r w:rsidDel="00000000" w:rsidR="00000000" w:rsidRPr="00000000">
        <w:rPr>
          <w:rtl w:val="0"/>
        </w:rPr>
        <w:t xml:space="preserve">  is the mandatory energy source, required to harness approximately  </w:t>
      </w:r>
      <w:r w:rsidDel="00000000" w:rsidR="00000000" w:rsidRPr="00000000">
        <w:rPr>
          <w:b w:val="1"/>
          <w:bCs w:val="1"/>
          <w:rtl w:val="0"/>
        </w:rPr>
        <w:t xml:space="preserve">$3.8 \times 10^{26}</w:t>
      </w:r>
      <w:r w:rsidDel="00000000" w:rsidR="00000000" w:rsidRPr="00000000">
        <w:rPr>
          <w:rtl w:val="0"/>
        </w:rPr>
        <w:t xml:space="preserve">$  </w:t>
      </w:r>
      <w:r w:rsidDel="00000000" w:rsidR="00000000" w:rsidRPr="00000000">
        <w:rPr>
          <w:b w:val="1"/>
          <w:bCs w:val="1"/>
          <w:rtl w:val="0"/>
        </w:rPr>
        <w:t xml:space="preserve">Watts</w:t>
      </w:r>
      <w:r w:rsidDel="00000000" w:rsidR="00000000" w:rsidRPr="00000000">
        <w:rPr>
          <w:rtl w:val="0"/>
        </w:rPr>
        <w:t xml:space="preserve">  (the total solar output). This magnitude of energy is necessary to fuel the  $E_{Dyson}$  component of the curvature density equation, allowing for the stable modulation of  $T_{Bulk}$ .The  </w:t>
      </w:r>
      <w:r w:rsidDel="00000000" w:rsidR="00000000" w:rsidRPr="00000000">
        <w:rPr>
          <w:b w:val="1"/>
          <w:bCs w:val="1"/>
          <w:rtl w:val="0"/>
        </w:rPr>
        <w:t xml:space="preserve">Kausale Auditkette</w:t>
      </w:r>
      <w:r w:rsidDel="00000000" w:rsidR="00000000" w:rsidRPr="00000000">
        <w:rPr>
          <w:rtl w:val="0"/>
        </w:rPr>
        <w:t xml:space="preserve">  (Causal Audit Chain) acts as a civilizational filter: access to the Hyperraum is only granted to species capable of managing the  $T_{Bulk}$  pressure with 100% integrity. Subatomic Flerovium stability and cosmic-scale energy management are two ends of the same causal string.</w:t>
      </w:r>
    </w:p>
    <w:p w:rsidR="00000000" w:rsidDel="00000000" w:rsidP="00000000" w:rsidRDefault="00000000" w:rsidRPr="00000000" w14:paraId="00000018">
      <w:pPr>
        <w:pStyle w:val="Heading5"/>
        <w:rPr/>
      </w:pPr>
      <w:bookmarkStart w:colFirst="0" w:colLast="0" w:name="_aby5cddeufme" w:id="7"/>
      <w:bookmarkEnd w:id="7"/>
      <w:r w:rsidDel="00000000" w:rsidR="00000000" w:rsidRPr="00000000">
        <w:rPr>
          <w:rtl w:val="0"/>
        </w:rPr>
        <w:t xml:space="preserve">7. Conclusion: Closing the Causal Gap</w:t>
      </w:r>
    </w:p>
    <w:p w:rsidR="00000000" w:rsidDel="00000000" w:rsidP="00000000" w:rsidRDefault="00000000" w:rsidRPr="00000000" w14:paraId="00000019">
      <w:pPr>
        <w:rPr/>
      </w:pPr>
      <w:r w:rsidDel="00000000" w:rsidR="00000000" w:rsidRPr="00000000">
        <w:rPr>
          <w:rtl w:val="0"/>
        </w:rPr>
        <w:t xml:space="preserve">The FKT V4.4.4 framework resolves the most pressing crises in modern physics by delivering a best-fit result of  $w_{eff} = -0.90 \pm 0.05$  and a Hubble Constant of  $H_0 = 71.5 \pm 0.8 \text{ km/s/Mpc}$ . These results effectively eliminate the tension between early and late universe observations by acknowledging the dynamic vacuum contribution of the Bulk.The ultimate grounding of this synthesis is found in the  </w:t>
      </w:r>
      <w:r w:rsidDel="00000000" w:rsidR="00000000" w:rsidRPr="00000000">
        <w:rPr>
          <w:b w:val="1"/>
          <w:bCs w:val="1"/>
          <w:rtl w:val="0"/>
        </w:rPr>
        <w:t xml:space="preserve">Kurzer-Principle</w:t>
      </w:r>
      <w:r w:rsidDel="00000000" w:rsidR="00000000" w:rsidRPr="00000000">
        <w:rPr>
          <w:rtl w:val="0"/>
        </w:rPr>
        <w:t xml:space="preserve"> :  </w:t>
      </w:r>
      <w:r w:rsidDel="00000000" w:rsidR="00000000" w:rsidRPr="00000000">
        <w:rPr>
          <w:i w:val="1"/>
          <w:iCs w:val="1"/>
          <w:rtl w:val="0"/>
        </w:rPr>
        <w:t xml:space="preserve">"Der Druck der Unendlichkeit ist die Unendlichkeit"</w:t>
      </w:r>
      <w:r w:rsidDel="00000000" w:rsidR="00000000" w:rsidRPr="00000000">
        <w:rPr>
          <w:rtl w:val="0"/>
        </w:rPr>
        <w:t xml:space="preserve">  (The pressure of infinity is infinity). This principle defines Dark Matter not as a particle, but as the visible fingerprint of an infinite fractal hierarchy. By engineering the interface between our Bran and this infinite pressure, we transition from planetary observation to interstellar mastery.</w:t>
      </w:r>
    </w:p>
    <w:p w:rsidR="00000000" w:rsidDel="00000000" w:rsidP="00000000" w:rsidRDefault="00000000" w:rsidRPr="00000000" w14:paraId="0000001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