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V: Von der Theorie zur Simulation – Implementierung des FKT-Hintergrunds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Nach der formalen Herleitung der modifizierten Friedmann-Gleichungen (Kapitel III) und der Kontinuitätsgleichung (Kapitel IV) muss die </w:t>
      </w:r>
      <w:r w:rsidDel="00000000" w:rsidR="00000000" w:rsidRPr="00000000">
        <w:rPr>
          <w:b w:val="1"/>
          <w:bCs w:val="1"/>
          <w:rtl w:val="0"/>
        </w:rPr>
        <w:t xml:space="preserve">Dynamik des Bulk-Tensors</w:t>
      </w:r>
      <w:r w:rsidDel="00000000" w:rsidR="00000000" w:rsidRPr="00000000">
        <w:rPr>
          <w:rtl w:val="0"/>
        </w:rPr>
        <w:t xml:space="preserve"> numerisch gelöst werden. Dies geschieht durch die Integration des FKT-Modells in ein Standard-Kosmologie-Code-Framework (wie z.B. CLASS), hier realisiert durch die Python-Klasse FKTBulkBackground.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Die Rolle der FKTBulkBackground Klasse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FKTBulkBackground Klasse dient dazu, die </w:t>
      </w:r>
      <w:r w:rsidDel="00000000" w:rsidR="00000000" w:rsidRPr="00000000">
        <w:rPr>
          <w:b w:val="1"/>
          <w:bCs w:val="1"/>
          <w:rtl w:val="0"/>
        </w:rPr>
        <w:t xml:space="preserve">Energiedichte \rho_{\text{Bulk}}</w:t>
      </w:r>
      <w:r w:rsidDel="00000000" w:rsidR="00000000" w:rsidRPr="00000000">
        <w:rPr>
          <w:rtl w:val="0"/>
        </w:rPr>
        <w:t xml:space="preserve"> des Bulk-Feldes als Funktion des Skalenfaktors a(t) zu berechnen. Dies ist der essenzielle Beitrag zur </w:t>
      </w:r>
      <w:r w:rsidDel="00000000" w:rsidR="00000000" w:rsidRPr="00000000">
        <w:rPr>
          <w:b w:val="1"/>
          <w:bCs w:val="1"/>
          <w:rtl w:val="0"/>
        </w:rPr>
        <w:t xml:space="preserve">Ersten Friedmann-Gleichung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Das Framework (Cobaya/CLASS) löst die kosmologischen Gleichungen, benötigt jedoch vom FKT-Modul die genauen Werte für die Bulk-Dichte und ihren Druck bei jedem Skalenfaktor a.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Parameter-Initialisierung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Klasse initialisiert die physikalischen Konstanten (G, c, \text{Mpc}) und berechnet die </w:t>
      </w:r>
      <w:r w:rsidDel="00000000" w:rsidR="00000000" w:rsidRPr="00000000">
        <w:rPr>
          <w:b w:val="1"/>
          <w:bCs w:val="1"/>
          <w:rtl w:val="0"/>
        </w:rPr>
        <w:t xml:space="preserve">kritische Dichte \rho_{\text{crit}, 0}</w:t>
      </w:r>
      <w:r w:rsidDel="00000000" w:rsidR="00000000" w:rsidRPr="00000000">
        <w:rPr>
          <w:rtl w:val="0"/>
        </w:rPr>
        <w:t xml:space="preserve"> von heute. Dies dient als Normierungsfaktor für alle weiteren Dichteberechnungen.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Bulk-Dichte \rho_{\text{Bulk}} wird in Relation zur kritischen Dichte über den Parameter </w:t>
      </w:r>
      <w:r w:rsidDel="00000000" w:rsidR="00000000" w:rsidRPr="00000000">
        <w:rPr>
          <w:b w:val="1"/>
          <w:bCs w:val="1"/>
          <w:rtl w:val="0"/>
        </w:rPr>
        <w:t xml:space="preserve">\Omega_{\text{bulk}, 0}</w:t>
      </w:r>
      <w:r w:rsidDel="00000000" w:rsidR="00000000" w:rsidRPr="00000000">
        <w:rPr>
          <w:rtl w:val="0"/>
        </w:rPr>
        <w:t xml:space="preserve"> gesetzt: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Die Evolution der Bulk-Dichte (\rho_{\text{Bulk}}(a))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Evolution der Bulk-Dichte im Laufe der kosmischen Zeit wird durch die Zustandsgleichung des Bulk-Tensors (P_{\text{Bulk}} = w_{\chi} \rho_{\text{Bulk}} c^2) bestimmt. Da die Kontinuitätsgleichung (Kap. IV) nur implizit über w_{\chi} gelöst wird (da Q \neq 0), ergibt sich eine nicht-triviale Skalierung der Dichte mit dem Skalenfaktor 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numerische Implementierung verwendet die analytische Lösung der Differentialgleichung für konstantes w_{\chi}: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Implementierung im Code (fktbulkbackground.py):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Kernfunktion, die dem Integrator die Dichte liefert, berechnet den Wert für einen gegebenen Skalenfaktor a: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