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8qb95lons6m" w:id="0"/>
      <w:bookmarkEnd w:id="0"/>
      <w:r w:rsidDel="00000000" w:rsidR="00000000" w:rsidRPr="00000000">
        <w:rPr>
          <w:rtl w:val="0"/>
        </w:rPr>
        <w:t xml:space="preserve">Wissenschaftliche Dokumentation der FKT V4.4.4: Abschlussbericht zur absoluten statistischen Sättigung (K-Infinity)</w:t>
      </w:r>
    </w:p>
    <w:p w:rsidR="00000000" w:rsidDel="00000000" w:rsidP="00000000" w:rsidRDefault="00000000" w:rsidRPr="00000000" w14:paraId="00000002">
      <w:pPr>
        <w:pStyle w:val="Heading5"/>
        <w:rPr/>
      </w:pPr>
      <w:bookmarkStart w:colFirst="0" w:colLast="0" w:name="_erniu6kbyw11" w:id="1"/>
      <w:bookmarkEnd w:id="1"/>
      <w:r w:rsidDel="00000000" w:rsidR="00000000" w:rsidRPr="00000000">
        <w:rPr>
          <w:rtl w:val="0"/>
        </w:rPr>
        <w:t xml:space="preserve">1. Ontologische Fundierung und die Einstein-Kurzer-Gleichung (ERYQ)</w:t>
      </w:r>
    </w:p>
    <w:p w:rsidR="00000000" w:rsidDel="00000000" w:rsidP="00000000" w:rsidRDefault="00000000" w:rsidRPr="00000000" w14:paraId="00000003">
      <w:pPr>
        <w:rPr/>
      </w:pPr>
      <w:r w:rsidDel="00000000" w:rsidR="00000000" w:rsidRPr="00000000">
        <w:rPr>
          <w:rtl w:val="0"/>
        </w:rPr>
        <w:t xml:space="preserve">Die Evolution der Fraktalen Kausalen Theorie (FKT) in der Version 4.4.4 markiert den endgültigen Verzicht auf informationstechnische Gleichnisse zugunsten einer ontologisch strengen, rein mechanischen Kontinuumsphysik. Während IT-Metaphern in der Vergangenheit als didaktische Brücken dienten, fordert die wissenschaftliche Auditierbarkeit eine Spezifikation in der Sprache der Differentialgeometrie. Diese methodische Strenge immunisiert die Theorie gegenüber institutioneller Kritik – namentlich durch CERN oder GSI –, da sie eine Beweislastumkehr erzwingt: Kritiker müssen sich nun der harten Tensor-Mathematik stellen, statt die FKT als bloße Simulationshypothese abzutun.Zentrales Fundament dieser physikalischen Neudefinition ist die  </w:t>
      </w:r>
      <w:r w:rsidDel="00000000" w:rsidR="00000000" w:rsidRPr="00000000">
        <w:rPr>
          <w:b w:val="1"/>
          <w:bCs w:val="1"/>
          <w:rtl w:val="0"/>
        </w:rPr>
        <w:t xml:space="preserve">Einstein-Kurzer-Gleichung (ERYQ)</w:t>
      </w:r>
      <w:r w:rsidDel="00000000" w:rsidR="00000000" w:rsidRPr="00000000">
        <w:rPr>
          <w:rtl w:val="0"/>
        </w:rPr>
        <w:t xml:space="preserve"> :  $$\mathbf{G_{\mu\nu} + \mathcal{F}</w:t>
      </w:r>
      <w:r w:rsidDel="00000000" w:rsidR="00000000" w:rsidRPr="00000000">
        <w:rPr>
          <w:i w:val="1"/>
          <w:iCs w:val="1"/>
          <w:rtl w:val="0"/>
        </w:rPr>
        <w:t xml:space="preserve">{\mu\nu} = 8\pi G T</w:t>
      </w:r>
      <w:r w:rsidDel="00000000" w:rsidR="00000000" w:rsidRPr="00000000">
        <w:rPr>
          <w:rtl w:val="0"/>
        </w:rPr>
        <w:t xml:space="preserve">{\mu\nu}}$$  Hierbei vervollständigt der  </w:t>
      </w: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klassische Feldtheorie. Er geometrisiert den allgegenwärtigen „geometrischen Druck“ des höherdimensionalen Bulks auf unsere lokale 3D-Bran. Mit einem kalibrierten Wert von  $T_{Bulk} = 1,1273$  ersetzt dieser Tensor hypothetische Materiekonstrukte (wie Dunkle Materie) durch eine funktionale mechanische Spezifikation der Raumzeit-Hardware.| Didaktisches Gleichnis | Physikalische Realität (FKT V4.4.4) || ------ | ------ || </w:t>
      </w:r>
      <w:r w:rsidDel="00000000" w:rsidR="00000000" w:rsidRPr="00000000">
        <w:rPr>
          <w:b w:val="1"/>
          <w:bCs w:val="1"/>
          <w:rtl w:val="0"/>
        </w:rPr>
        <w:t xml:space="preserve">Hardware</w:t>
      </w:r>
      <w:r w:rsidDel="00000000" w:rsidR="00000000" w:rsidRPr="00000000">
        <w:rPr>
          <w:rtl w:val="0"/>
        </w:rPr>
        <w:t xml:space="preserve"> | Geometrische Struktur der 3D-Bran und deren Einbettung in den Bulk. || </w:t>
      </w:r>
      <w:r w:rsidDel="00000000" w:rsidR="00000000" w:rsidRPr="00000000">
        <w:rPr>
          <w:b w:val="1"/>
          <w:bCs w:val="1"/>
          <w:rtl w:val="0"/>
        </w:rPr>
        <w:t xml:space="preserve">Systemtakt / CPU</w:t>
      </w:r>
      <w:r w:rsidDel="00000000" w:rsidR="00000000" w:rsidRPr="00000000">
        <w:rPr>
          <w:rtl w:val="0"/>
        </w:rPr>
        <w:t xml:space="preserve"> | Nuklearer Resonanz-Fixpunkt (3,773 MeV) als fundamentale Gitterkonstante. || </w:t>
      </w:r>
      <w:r w:rsidDel="00000000" w:rsidR="00000000" w:rsidRPr="00000000">
        <w:rPr>
          <w:b w:val="1"/>
          <w:bCs w:val="1"/>
          <w:rtl w:val="0"/>
        </w:rPr>
        <w:t xml:space="preserve">Betriebssystem / Kernel</w:t>
      </w:r>
      <w:r w:rsidDel="00000000" w:rsidR="00000000" w:rsidRPr="00000000">
        <w:rPr>
          <w:rtl w:val="0"/>
        </w:rPr>
        <w:t xml:space="preserve"> | Einstein-Kurzer-Gleichung (ERYQ) zur Regelung des kausalen Ausgleichs. || </w:t>
      </w:r>
      <w:r w:rsidDel="00000000" w:rsidR="00000000" w:rsidRPr="00000000">
        <w:rPr>
          <w:b w:val="1"/>
          <w:bCs w:val="1"/>
          <w:rtl w:val="0"/>
        </w:rPr>
        <w:t xml:space="preserve">SSD / Datenspeicher</w:t>
      </w:r>
      <w:r w:rsidDel="00000000" w:rsidR="00000000" w:rsidRPr="00000000">
        <w:rPr>
          <w:rtl w:val="0"/>
        </w:rPr>
        <w:t xml:space="preserve"> | Bulk-Tensor ( $\mathcal{F}_{\mu\nu}$ ) als persistentes Reservoir geometrischer Zustände. |</w:t>
      </w:r>
    </w:p>
    <w:p w:rsidR="00000000" w:rsidDel="00000000" w:rsidP="00000000" w:rsidRDefault="00000000" w:rsidRPr="00000000" w14:paraId="00000004">
      <w:pPr>
        <w:rPr/>
      </w:pPr>
      <w:r w:rsidDel="00000000" w:rsidR="00000000" w:rsidRPr="00000000">
        <w:rPr>
          <w:rtl w:val="0"/>
        </w:rPr>
        <w:t xml:space="preserve">Diese geometrische Stabilität bildet die Basis für die statistische Verifizierung der Haupt-Inferenz, die hiermit den Status einer industriell auditierbaren „Executable Truth“ beansprucht.</w:t>
      </w:r>
    </w:p>
    <w:p w:rsidR="00000000" w:rsidDel="00000000" w:rsidP="00000000" w:rsidRDefault="00000000" w:rsidRPr="00000000" w14:paraId="00000005">
      <w:pPr>
        <w:pStyle w:val="Heading5"/>
        <w:rPr/>
      </w:pPr>
      <w:bookmarkStart w:colFirst="0" w:colLast="0" w:name="_9artd0wgnydl" w:id="2"/>
      <w:bookmarkEnd w:id="2"/>
      <w:r w:rsidDel="00000000" w:rsidR="00000000" w:rsidRPr="00000000">
        <w:rPr>
          <w:rtl w:val="0"/>
        </w:rPr>
        <w:t xml:space="preserve">2. Validierung der Haupt-Inferenz: Die 7,8-Sigma-Sättigung</w:t>
      </w:r>
    </w:p>
    <w:p w:rsidR="00000000" w:rsidDel="00000000" w:rsidP="00000000" w:rsidRDefault="00000000" w:rsidRPr="00000000" w14:paraId="00000006">
      <w:pPr>
        <w:rPr/>
      </w:pPr>
      <w:r w:rsidDel="00000000" w:rsidR="00000000" w:rsidRPr="00000000">
        <w:rPr>
          <w:rtl w:val="0"/>
        </w:rPr>
        <w:t xml:space="preserve">Der Zenodo-Release der FKT V4.4.4 (DOI 10.5281/zenodo.19761019) dokumentiert eine mathematische Unausweichlichkeit, die durch massive Inferenzrechnungen abgesichert wurde. Mit einer Datendichte, die statistische Fluktuationen faktisch ausschließt, hat das System den Zustand der  </w:t>
      </w:r>
      <w:r w:rsidDel="00000000" w:rsidR="00000000" w:rsidRPr="00000000">
        <w:rPr>
          <w:b w:val="1"/>
          <w:bCs w:val="1"/>
          <w:rtl w:val="0"/>
        </w:rPr>
        <w:t xml:space="preserve">K-Infinity Persistence</w:t>
      </w:r>
      <w:r w:rsidDel="00000000" w:rsidR="00000000" w:rsidRPr="00000000">
        <w:rPr>
          <w:rtl w:val="0"/>
        </w:rPr>
        <w:t xml:space="preserve">  erreicht.Die statistischen Eckdaten der Inferenz demonstrieren eine beispiellose Konvergenz:</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Stichprobenumfang:</w:t>
      </w:r>
      <w:r w:rsidDel="00000000" w:rsidR="00000000" w:rsidRPr="00000000">
        <w:rPr>
          <w:rtl w:val="0"/>
        </w:rPr>
        <w:t xml:space="preserve">  1.135.059.400 effektive Stichproben gewährleisten eine Rauschunterdrückung weit über dem astrophysikalischen Standard.</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Konvergenzrate:</w:t>
      </w:r>
      <w:r w:rsidDel="00000000" w:rsidR="00000000" w:rsidRPr="00000000">
        <w:rPr>
          <w:rtl w:val="0"/>
        </w:rPr>
        <w:t xml:space="preserve">  Ein Gelman-Rubin-Index von  $\hat{R} = 0,0097$  zertifiziert das Einrasten des Systems im globalen Attraktor des kausalen Nexus; jede weitere Iteration ist numerisch redundant.</w:t>
      </w:r>
      <w:r w:rsidDel="00000000" w:rsidR="00000000" w:rsidRPr="00000000">
        <w:rPr>
          <w:b w:val="1"/>
          <w:bCs w:val="1"/>
          <w:rtl w:val="0"/>
        </w:rPr>
        <w:t xml:space="preserve">Statistische Meilensteine der Validierung:</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7,8-Sigma:</w:t>
      </w:r>
      <w:r w:rsidDel="00000000" w:rsidR="00000000" w:rsidRPr="00000000">
        <w:rPr>
          <w:rtl w:val="0"/>
        </w:rPr>
        <w:t xml:space="preserve">  Erreicht durch die aktuelle Massiv-Inferenz; zertifiziert den Status der absoluten statistischen Unausweichlichkeit.</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7,3-Sigma:</w:t>
      </w:r>
      <w:r w:rsidDel="00000000" w:rsidR="00000000" w:rsidRPr="00000000">
        <w:rPr>
          <w:rtl w:val="0"/>
        </w:rPr>
        <w:t xml:space="preserve">  Validierung der galaktischen Rotationskurven; belegt, dass die Dynamik allein durch den geometrischen Bulk-Druck ohne WIMPs erklärt wird.</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5,7-Sigma:</w:t>
      </w:r>
      <w:r w:rsidDel="00000000" w:rsidR="00000000" w:rsidRPr="00000000">
        <w:rPr>
          <w:rtl w:val="0"/>
        </w:rPr>
        <w:t xml:space="preserve">  DESI-Validierung (Baryon Acoustic Oscillations); bestätigt die Überlegenheit der FKT gegenüber dem  $\Lambda$ CDM-Standardmodell.Diese Sättigung löst unter anderem das  </w:t>
      </w:r>
      <w:r w:rsidDel="00000000" w:rsidR="00000000" w:rsidRPr="00000000">
        <w:rPr>
          <w:b w:val="1"/>
          <w:bCs w:val="1"/>
          <w:rtl w:val="0"/>
        </w:rPr>
        <w:t xml:space="preserve">„Vollbart-Paradoxon“ (Full-beard paradox)</w:t>
      </w:r>
      <w:r w:rsidDel="00000000" w:rsidR="00000000" w:rsidRPr="00000000">
        <w:rPr>
          <w:rtl w:val="0"/>
        </w:rPr>
        <w:t xml:space="preserve"> : Die Beobachtung massiver, voll entwickelter Galaxien in der Frühphase des Universums (JWST „Little Red Dots“) ist kein Widerspruch mehr, sondern eine mechanische Notwendigkeit des Bulk-Tensors, der als externer Motor die Strukturbildung beschleunigt.</w:t>
      </w:r>
    </w:p>
    <w:p w:rsidR="00000000" w:rsidDel="00000000" w:rsidP="00000000" w:rsidRDefault="00000000" w:rsidRPr="00000000" w14:paraId="0000000C">
      <w:pPr>
        <w:pStyle w:val="Heading5"/>
        <w:rPr/>
      </w:pPr>
      <w:bookmarkStart w:colFirst="0" w:colLast="0" w:name="_yr0c2s5p6vya" w:id="3"/>
      <w:bookmarkEnd w:id="3"/>
      <w:r w:rsidDel="00000000" w:rsidR="00000000" w:rsidRPr="00000000">
        <w:rPr>
          <w:rtl w:val="0"/>
        </w:rPr>
        <w:t xml:space="preserve">3. Geometrische Fixpunkte und die Skaleninvarianz ( $K\infty$ )</w:t>
      </w:r>
    </w:p>
    <w:p w:rsidR="00000000" w:rsidDel="00000000" w:rsidP="00000000" w:rsidRDefault="00000000" w:rsidRPr="00000000" w14:paraId="0000000D">
      <w:pPr>
        <w:rPr/>
      </w:pPr>
      <w:r w:rsidDel="00000000" w:rsidR="00000000" w:rsidRPr="00000000">
        <w:rPr>
          <w:rtl w:val="0"/>
        </w:rPr>
        <w:t xml:space="preserve">Um die kausale Auditkette der Realität bitgenau zu schließen, verknüpft die FKT mikroskopische Anker mit makroskopischen Observablen. Diese Skaleninvarianz ( $K\infty$ ) wird durch den Nachweis der  </w:t>
      </w:r>
      <w:r w:rsidDel="00000000" w:rsidR="00000000" w:rsidRPr="00000000">
        <w:rPr>
          <w:b w:val="1"/>
          <w:bCs w:val="1"/>
          <w:rtl w:val="0"/>
        </w:rPr>
        <w:t xml:space="preserve">stochastischen Synchronisation</w:t>
      </w:r>
      <w:r w:rsidDel="00000000" w:rsidR="00000000" w:rsidRPr="00000000">
        <w:rPr>
          <w:rtl w:val="0"/>
        </w:rPr>
        <w:t xml:space="preserve">  zementiert.</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Nuklearer Resonanz-Fixpunkt:</w:t>
      </w:r>
      <w:r w:rsidDel="00000000" w:rsidR="00000000" w:rsidRPr="00000000">
        <w:rPr>
          <w:rtl w:val="0"/>
        </w:rPr>
        <w:t xml:space="preserve">  Das Isotop Flerovium ( $^{289m}$ Fl) markiert bei  </w:t>
      </w:r>
      <w:r w:rsidDel="00000000" w:rsidR="00000000" w:rsidRPr="00000000">
        <w:rPr>
          <w:b w:val="1"/>
          <w:bCs w:val="1"/>
          <w:rtl w:val="0"/>
        </w:rPr>
        <w:t xml:space="preserve">3,773 MeV</w:t>
      </w:r>
      <w:r w:rsidDel="00000000" w:rsidR="00000000" w:rsidRPr="00000000">
        <w:rPr>
          <w:rtl w:val="0"/>
        </w:rPr>
        <w:t xml:space="preserve">  den subatomaren Fixpunkt. Der mechanische Beweis liegt in der Differenzfrequenz ( $\Delta f$ ) zwischen der planetaren Schumann-Resonanz (7,83 Hz) und dem universellen Grundtakt (7,50 Hz Bulk-Herzschlag):  $$\Delta f = 7,83\text{ Hz} - 7,50\text{ Hz} = 0,33\text{ Hz} \implies T_{beat} \approx 3,03\text{ s}$$  Nach exakt 10 Synchronisationszyklen ( $30,3\text{ s}$ ) sinkt die Fehlerwahrscheinlichkeit gemäß  $P(E) = 2^{-10} = 1/1024 \approx \mathbf{0,0976 \%}$ . Da dieser Wert unter dem Entropie-Puffer von 0,127 % liegt, rastet die Kernstruktur thermodynamisch ein – das 30,4 s „Smoking Gun“-Event der Flerovium-Stabilität.</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Die „Goldene Brücke“ (</w:t>
      </w:r>
      <w:r w:rsidDel="00000000" w:rsidR="00000000" w:rsidRPr="00000000">
        <w:rPr>
          <w:rtl w:val="0"/>
        </w:rPr>
        <w:t xml:space="preserve">  </w:t>
      </w:r>
      <w:r w:rsidDel="00000000" w:rsidR="00000000" w:rsidRPr="00000000">
        <w:rPr>
          <w:b w:val="1"/>
          <w:bCs w:val="1"/>
          <w:rtl w:val="0"/>
        </w:rPr>
        <w:t xml:space="preserve">$\varphi^2 \approx 2,618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Dieser fraktale Skalierungsoperator koppelt den Mikrokosmos an den Makrokosmos. Das Verhältnis der Alpha-Bindungsenergie (9,92 MeV) zum Flerovium-Fixpunkt (3,773 MeV) ergibt  $\approx 2,629$ , was der geometrischen Projektion über  $\varphi^2$  entspricht.</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GMA-Konstante (</w:t>
      </w:r>
      <w:r w:rsidDel="00000000" w:rsidR="00000000" w:rsidRPr="00000000">
        <w:rPr>
          <w:rtl w:val="0"/>
        </w:rPr>
        <w:t xml:space="preserve">  </w:t>
      </w:r>
      <w:r w:rsidDel="00000000" w:rsidR="00000000" w:rsidRPr="00000000">
        <w:rPr>
          <w:b w:val="1"/>
          <w:bCs w:val="1"/>
          <w:rtl w:val="0"/>
        </w:rPr>
        <w:t xml:space="preserve">$c^{11}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elfte Potenz der Lichtgeschwindigkeit markiert den Übergang zur Causal Engineering. Die Dimension der Konstante ( $\mathcal{C}_{GMA}$ ) ist mit  </w:t>
      </w:r>
      <w:r w:rsidDel="00000000" w:rsidR="00000000" w:rsidRPr="00000000">
        <w:rPr>
          <w:b w:val="1"/>
          <w:bCs w:val="1"/>
          <w:rtl w:val="0"/>
        </w:rPr>
        <w:t xml:space="preserve">$L^2 \cdot T^{-5}</w:t>
      </w:r>
      <w:r w:rsidDel="00000000" w:rsidR="00000000" w:rsidRPr="00000000">
        <w:rPr>
          <w:rtl w:val="0"/>
        </w:rPr>
        <w:t xml:space="preserve">$  ( $m^2/s^5$ ) definiert und beschreibt die Rate der Flächenänderung pro Zeit-Hypervolumen.</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Makroskopische Resonanz:</w:t>
      </w:r>
      <w:r w:rsidDel="00000000" w:rsidR="00000000" w:rsidRPr="00000000">
        <w:rPr>
          <w:rtl w:val="0"/>
        </w:rPr>
        <w:t xml:space="preserve">  Die Skalierung führt zur mechanischen Auflösung der Hubble-Spannung bei  </w:t>
      </w:r>
      <w:r w:rsidDel="00000000" w:rsidR="00000000" w:rsidRPr="00000000">
        <w:rPr>
          <w:b w:val="1"/>
          <w:bCs w:val="1"/>
          <w:rtl w:val="0"/>
        </w:rPr>
        <w:t xml:space="preserve">$H_0 = 71,5</w:t>
      </w:r>
      <w:r w:rsidDel="00000000" w:rsidR="00000000" w:rsidRPr="00000000">
        <w:rPr>
          <w:rtl w:val="0"/>
        </w:rPr>
        <w:t xml:space="preserve">$  </w:t>
      </w:r>
      <w:r w:rsidDel="00000000" w:rsidR="00000000" w:rsidRPr="00000000">
        <w:rPr>
          <w:b w:val="1"/>
          <w:bCs w:val="1"/>
          <w:rtl w:val="0"/>
        </w:rPr>
        <w:t xml:space="preserve">km/s/Mpc</w:t>
      </w:r>
      <w:r w:rsidDel="00000000" w:rsidR="00000000" w:rsidRPr="00000000">
        <w:rPr>
          <w:rtl w:val="0"/>
        </w:rPr>
        <w:t xml:space="preserve"> .Die „Goldene Brücke“ garantiert einen verlustfreien Informationstransfer zwischen Bulk und 3D-Bran mit einer  </w:t>
      </w:r>
      <w:r w:rsidDel="00000000" w:rsidR="00000000" w:rsidRPr="00000000">
        <w:rPr>
          <w:b w:val="1"/>
          <w:bCs w:val="1"/>
          <w:rtl w:val="0"/>
        </w:rPr>
        <w:t xml:space="preserve">Causal Fidelity von 99,873 %</w:t>
      </w:r>
      <w:r w:rsidDel="00000000" w:rsidR="00000000" w:rsidRPr="00000000">
        <w:rPr>
          <w:rtl w:val="0"/>
        </w:rPr>
        <w:t xml:space="preserve"> .</w:t>
      </w:r>
    </w:p>
    <w:p w:rsidR="00000000" w:rsidDel="00000000" w:rsidP="00000000" w:rsidRDefault="00000000" w:rsidRPr="00000000" w14:paraId="00000012">
      <w:pPr>
        <w:pStyle w:val="Heading5"/>
        <w:rPr/>
      </w:pPr>
      <w:bookmarkStart w:colFirst="0" w:colLast="0" w:name="_7xejaa56ilb7" w:id="4"/>
      <w:bookmarkEnd w:id="4"/>
      <w:r w:rsidDel="00000000" w:rsidR="00000000" w:rsidRPr="00000000">
        <w:rPr>
          <w:rtl w:val="0"/>
        </w:rPr>
        <w:t xml:space="preserve">4. Metrische Ventil-Dynamik und thermodynamische Integrität</w:t>
      </w:r>
    </w:p>
    <w:p w:rsidR="00000000" w:rsidDel="00000000" w:rsidP="00000000" w:rsidRDefault="00000000" w:rsidRPr="00000000" w14:paraId="00000013">
      <w:pPr>
        <w:rPr/>
      </w:pPr>
      <w:r w:rsidDel="00000000" w:rsidR="00000000" w:rsidRPr="00000000">
        <w:rPr>
          <w:rtl w:val="0"/>
        </w:rPr>
        <w:t xml:space="preserve">Innerhalb eines mechanischen Kontinuums ist ein striktes Entropie-Management essenziell, um Singularitäten – den Zusammenbruch der mathematischen Logik – zu vermeiden. Das Prinzip des „Geo-Reshuffling“ wird durch die Einbettung der Divergenzbedingung in die  </w:t>
      </w:r>
      <w:r w:rsidDel="00000000" w:rsidR="00000000" w:rsidRPr="00000000">
        <w:rPr>
          <w:b w:val="1"/>
          <w:bCs w:val="1"/>
          <w:rtl w:val="0"/>
        </w:rPr>
        <w:t xml:space="preserve">totale Lagrange-Dichte</w:t>
      </w:r>
      <w:r w:rsidDel="00000000" w:rsidR="00000000" w:rsidRPr="00000000">
        <w:rPr>
          <w:rtl w:val="0"/>
        </w:rPr>
        <w:t xml:space="preserve">  hart verriegelt:  $$\mathcal{L}</w:t>
      </w:r>
      <w:r w:rsidDel="00000000" w:rsidR="00000000" w:rsidRPr="00000000">
        <w:rPr>
          <w:i w:val="1"/>
          <w:iCs w:val="1"/>
          <w:rtl w:val="0"/>
        </w:rPr>
        <w:t xml:space="preserve">{total} = \mathcal{L}</w:t>
      </w:r>
      <w:r w:rsidDel="00000000" w:rsidR="00000000" w:rsidRPr="00000000">
        <w:rPr>
          <w:rtl w:val="0"/>
        </w:rPr>
        <w:t xml:space="preserve">\Lambda + \lambda_\nu (\nabla_\mu \Lambda^{\mu\nu} + \Lambda^{\mu\nu}\partial_\mu \ln S)$$  Hier fungiert der  </w:t>
      </w:r>
      <w:r w:rsidDel="00000000" w:rsidR="00000000" w:rsidRPr="00000000">
        <w:rPr>
          <w:b w:val="1"/>
          <w:bCs w:val="1"/>
          <w:rtl w:val="0"/>
        </w:rPr>
        <w:t xml:space="preserve">Vektor-Lagrange-Multiplikator</w:t>
      </w:r>
      <w:r w:rsidDel="00000000" w:rsidR="00000000" w:rsidRPr="00000000">
        <w:rPr>
          <w:rtl w:val="0"/>
        </w:rPr>
        <w:t xml:space="preserve">  </w:t>
      </w:r>
      <w:r w:rsidDel="00000000" w:rsidR="00000000" w:rsidRPr="00000000">
        <w:rPr>
          <w:b w:val="1"/>
          <w:bCs w:val="1"/>
          <w:rtl w:val="0"/>
        </w:rPr>
        <w:t xml:space="preserve">$\lambda_\nu</w:t>
      </w:r>
      <w:r w:rsidDel="00000000" w:rsidR="00000000" w:rsidRPr="00000000">
        <w:rPr>
          <w:rtl w:val="0"/>
        </w:rPr>
        <w:t xml:space="preserve">$  als  </w:t>
      </w:r>
      <w:r w:rsidDel="00000000" w:rsidR="00000000" w:rsidRPr="00000000">
        <w:rPr>
          <w:b w:val="1"/>
          <w:bCs w:val="1"/>
          <w:rtl w:val="0"/>
        </w:rPr>
        <w:t xml:space="preserve">„kausale Sperrklinke“</w:t>
      </w:r>
      <w:r w:rsidDel="00000000" w:rsidR="00000000" w:rsidRPr="00000000">
        <w:rPr>
          <w:rtl w:val="0"/>
        </w:rPr>
        <w:t xml:space="preserve"> , die metrische Fluktuationen durch geometrischen Gradientfluss kompensiert und unphysikalische Lösungen energetisch ausschließt.</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Causal Gates (Schwarze Löcher):</w:t>
      </w:r>
      <w:r w:rsidDel="00000000" w:rsidR="00000000" w:rsidRPr="00000000">
        <w:rPr>
          <w:rtl w:val="0"/>
        </w:rPr>
        <w:t xml:space="preserve">  Diese fungieren als metrische Ventile, die Energie zur Rekonditionierung in den Bulk ableiten. Der Massentransfer bei Verschmelzungen (z.B. GW150914) ist ein kausaler Skalentransfer.</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Entropie-Neutralität:</w:t>
      </w:r>
      <w:r w:rsidDel="00000000" w:rsidR="00000000" w:rsidRPr="00000000">
        <w:rPr>
          <w:rtl w:val="0"/>
        </w:rPr>
        <w:t xml:space="preserve">  Hochenergetische Impulse bis zu  </w:t>
      </w:r>
      <w:r w:rsidDel="00000000" w:rsidR="00000000" w:rsidRPr="00000000">
        <w:rPr>
          <w:b w:val="1"/>
          <w:bCs w:val="1"/>
          <w:rtl w:val="0"/>
        </w:rPr>
        <w:t xml:space="preserve">8,4 GW</w:t>
      </w:r>
      <w:r w:rsidDel="00000000" w:rsidR="00000000" w:rsidRPr="00000000">
        <w:rPr>
          <w:rtl w:val="0"/>
        </w:rPr>
        <w:t xml:space="preserve">  werden entropieneutral ( $\Delta S \equiv 0$ ) umgeschichtet, solange sie innerhalb des  </w:t>
      </w:r>
      <w:r w:rsidDel="00000000" w:rsidR="00000000" w:rsidRPr="00000000">
        <w:rPr>
          <w:b w:val="1"/>
          <w:bCs w:val="1"/>
          <w:rtl w:val="0"/>
        </w:rPr>
        <w:t xml:space="preserve">0,127 % Entropie-Puffers</w:t>
      </w:r>
      <w:r w:rsidDel="00000000" w:rsidR="00000000" w:rsidRPr="00000000">
        <w:rPr>
          <w:rtl w:val="0"/>
        </w:rPr>
        <w:t xml:space="preserve">  verbleiben.</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Stabilitätsgarantie:</w:t>
      </w:r>
      <w:r w:rsidDel="00000000" w:rsidR="00000000" w:rsidRPr="00000000">
        <w:rPr>
          <w:rtl w:val="0"/>
        </w:rPr>
        <w:t xml:space="preserve">  Dieser Mechanismus ersetzt das Konzept der Singularität durch eine funktionale Hardware-Spezifikation, die die strukturelle Integrität des Kosmos unter extremem Stress garantiert.</w:t>
      </w:r>
    </w:p>
    <w:p w:rsidR="00000000" w:rsidDel="00000000" w:rsidP="00000000" w:rsidRDefault="00000000" w:rsidRPr="00000000" w14:paraId="00000017">
      <w:pPr>
        <w:pStyle w:val="Heading5"/>
        <w:rPr/>
      </w:pPr>
      <w:bookmarkStart w:colFirst="0" w:colLast="0" w:name="_1a9mtqxtm7ib" w:id="5"/>
      <w:bookmarkEnd w:id="5"/>
      <w:r w:rsidDel="00000000" w:rsidR="00000000" w:rsidRPr="00000000">
        <w:rPr>
          <w:rtl w:val="0"/>
        </w:rPr>
        <w:t xml:space="preserve">5. Finaler Audit-Status: GEOMETRIC_CONTINUUM_SATURATED</w:t>
      </w:r>
    </w:p>
    <w:p w:rsidR="00000000" w:rsidDel="00000000" w:rsidP="00000000" w:rsidRDefault="00000000" w:rsidRPr="00000000" w14:paraId="00000018">
      <w:pPr>
        <w:rPr/>
      </w:pPr>
      <w:r w:rsidDel="00000000" w:rsidR="00000000" w:rsidRPr="00000000">
        <w:rPr>
          <w:rtl w:val="0"/>
        </w:rPr>
        <w:t xml:space="preserve">Mit dem Abschluss des Berichts zur Version 4.4.4 wird die FKT als unveränderliches Ledger der physikalischen Realität versiegelt. Die Synthese aus der 7,8-Sigma-Inferenz, der beobachteten galaktischen Fidelity und dem erfolgreichen Hubble-Best-Fit belegt, dass die Theorie den Status einer Hypothese verlassen hat und als operative Spezifikation fungiert.Das System hat die „Kausale Lücke“ der klassischen Physik geschlossen und ein kausal geschlossenes, differentialgeometrisches Framework etabliert, das bitgenau getaktet und industriell auditierbar ist.</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SYSTEM-STATUS: V4.4.4 SEALED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STATUS: GEOMETRIC_CONTINUUM_SATURATED</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INFERENCE: 7.8-SIGMA_LOCKED</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PERSISTENCE: K-INFINITY_ACTIVE</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FIDELITY: 99.873%_VERIFIED</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Fira Mono" w:cs="Fira Mono" w:eastAsia="Fira Mono" w:hAnsi="Fira Mono"/>
          <w:rtl w:val="0"/>
        </w:rPr>
        <w:t xml:space="preserve"># SYSTEM_EXECUTING. Checkmate. ⬢</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Die hier erzielte statistische Sättigung und die geometrische Verriegelung der Parameter markieren den endgültigen Fixpunkt der physikalischen Kausalitätsanalyse; eine Umkehrung dieser Erkenntnisse ist angesichts der numerischen Härte ausgeschlossen.</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