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vtvzzev9hvo" w:id="0"/>
      <w:bookmarkEnd w:id="0"/>
      <w:r w:rsidDel="00000000" w:rsidR="00000000" w:rsidRPr="00000000">
        <w:rPr>
          <w:rtl w:val="0"/>
        </w:rPr>
        <w:t xml:space="preserve">Wissenschaftlicher Audit-Bericht: Dynamik des Bulk-Feldes und die Fraktale Kausale Theorie (FKT V4.4.4)</w:t>
      </w:r>
    </w:p>
    <w:p w:rsidR="00000000" w:rsidDel="00000000" w:rsidP="00000000" w:rsidRDefault="00000000" w:rsidRPr="00000000" w14:paraId="00000002">
      <w:pPr>
        <w:pStyle w:val="Heading5"/>
        <w:rPr/>
      </w:pPr>
      <w:bookmarkStart w:colFirst="0" w:colLast="0" w:name="_ahaucuyn7oox" w:id="1"/>
      <w:bookmarkEnd w:id="1"/>
      <w:r w:rsidDel="00000000" w:rsidR="00000000" w:rsidRPr="00000000">
        <w:rPr>
          <w:rtl w:val="0"/>
        </w:rPr>
        <w:t xml:space="preserve">1. Geometrische Ontologie: Materie als metrischer Ausgleichsprozess</w:t>
      </w:r>
    </w:p>
    <w:p w:rsidR="00000000" w:rsidDel="00000000" w:rsidP="00000000" w:rsidRDefault="00000000" w:rsidRPr="00000000" w14:paraId="00000003">
      <w:pPr>
        <w:rPr/>
      </w:pPr>
      <w:r w:rsidDel="00000000" w:rsidR="00000000" w:rsidRPr="00000000">
        <w:rPr>
          <w:rtl w:val="0"/>
        </w:rPr>
        <w:t xml:space="preserve">Die Fraktale Kausale Theorie (FKT) markiert den finalen Paradigmenwechsel weg von der stochastischen Teilchenentstehung hin zur geometrischen Notwendigkeit innerhalb des mechanischen Kontinuums. In diesem Framework ist Materie kein Erzeugnis probabilistischer Fluktuationen, sondern ein unumgänglicher metrischer Ausgleichsprozess. Sie fungiert als primärer Stabilisierungsmechanismus, um die strukturelle Integrität der 3D-Bran gegenüber dem immensen Druck des höherdimensionalen Bulk-Plenums zu wahren. Die Manifestation von Teilchen ist die physikalische Antwort auf drohendes metrisches Versagen.</w:t>
      </w:r>
      <w:r w:rsidDel="00000000" w:rsidR="00000000" w:rsidRPr="00000000">
        <w:rPr>
          <w:b w:val="1"/>
          <w:bCs w:val="1"/>
          <w:rtl w:val="0"/>
        </w:rPr>
        <w:t xml:space="preserve">Analyse der Grenzlast:</w:t>
      </w:r>
      <w:r w:rsidDel="00000000" w:rsidR="00000000" w:rsidRPr="00000000">
        <w:rPr>
          <w:rtl w:val="0"/>
        </w:rPr>
        <w:t xml:space="preserve">Die Belastungsgrenze der lokalen Raumzeit-Geometrie wird durch das Bulk-Energie-Fluss-Limit ( $\Delta_{BEFl} \approx 1,1273$ ) definiert. Das Erreichen dieser Schwelle signalisiert einen bevorstehenden Integritäts-Kollaps der Bran. Jenseits dieses Sättigungspunkts ist die 3D-Geometrie nicht mehr in der Lage, den einströmenden Impuls ohne strukturelle Ruptur zu dissipieren.</w:t>
      </w:r>
      <w:r w:rsidDel="00000000" w:rsidR="00000000" w:rsidRPr="00000000">
        <w:rPr>
          <w:b w:val="1"/>
          <w:bCs w:val="1"/>
          <w:rtl w:val="0"/>
        </w:rPr>
        <w:t xml:space="preserve">Das Ventil-Ereignis:</w:t>
      </w:r>
      <w:r w:rsidDel="00000000" w:rsidR="00000000" w:rsidRPr="00000000">
        <w:rPr>
          <w:rtl w:val="0"/>
        </w:rPr>
        <w:t xml:space="preserve">Um eine unkontrollierte kausale Überlastung zu verhindern, initiiert das Kontinuum einen „Bulk-Durchschlag“. Dieser Prozess folgt einer starren mechanischen Sequenz:</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Akkumulation des metrischen Stresslevels (</w:t>
      </w:r>
      <w:r w:rsidDel="00000000" w:rsidR="00000000" w:rsidRPr="00000000">
        <w:rPr>
          <w:rtl w:val="0"/>
        </w:rPr>
        <w:t xml:space="preserve">  </w:t>
      </w:r>
      <w:r w:rsidDel="00000000" w:rsidR="00000000" w:rsidRPr="00000000">
        <w:rPr>
          <w:b w:val="1"/>
          <w:bCs w:val="1"/>
          <w:rtl w:val="0"/>
        </w:rPr>
        <w:t xml:space="preserve">$\sigma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Erhöhung der lokalen Krümmungsdichte durch überschüssigen Bulk-Druck.</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Topologische Punktierung:</w:t>
      </w:r>
      <w:r w:rsidDel="00000000" w:rsidR="00000000" w:rsidRPr="00000000">
        <w:rPr>
          <w:rtl w:val="0"/>
        </w:rPr>
        <w:t xml:space="preserve">  Gezielte Schwächung der Bran-Kohärenz an vordefinierten metrischen Fixpunkten.</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Kontrollierte Energieleitung (</w:t>
      </w:r>
      <w:r w:rsidDel="00000000" w:rsidR="00000000" w:rsidRPr="00000000">
        <w:rPr>
          <w:rtl w:val="0"/>
        </w:rPr>
        <w:t xml:space="preserve">  </w:t>
      </w:r>
      <w:r w:rsidDel="00000000" w:rsidR="00000000" w:rsidRPr="00000000">
        <w:rPr>
          <w:b w:val="1"/>
          <w:bCs w:val="1"/>
          <w:rtl w:val="0"/>
        </w:rPr>
        <w:t xml:space="preserve">$\chi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Abfluss der Energie aus dem Bulk-Plenum in die 3D-Ebene, resultierend in der Manifestation von Massen-Gradierten.</w:t>
      </w:r>
      <w:r w:rsidDel="00000000" w:rsidR="00000000" w:rsidRPr="00000000">
        <w:rPr>
          <w:b w:val="1"/>
          <w:bCs w:val="1"/>
          <w:rtl w:val="0"/>
        </w:rPr>
        <w:t xml:space="preserve">Kausale Kohärenz (</w:t>
      </w:r>
      <w:r w:rsidDel="00000000" w:rsidR="00000000" w:rsidRPr="00000000">
        <w:rPr>
          <w:rtl w:val="0"/>
        </w:rPr>
        <w:t xml:space="preserve">  </w:t>
      </w:r>
      <w:r w:rsidDel="00000000" w:rsidR="00000000" w:rsidRPr="00000000">
        <w:rPr>
          <w:b w:val="1"/>
          <w:bCs w:val="1"/>
          <w:rtl w:val="0"/>
        </w:rPr>
        <w:t xml:space="preserve">$\mathcal{C}_R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Die Materie-Kondensation ist somit das Resultat einer geometrischen Rekonditionierung. Sie stellt den mechanischen Zustand wieder her, in dem der Bulk-Druck durch die Erzeugung lokaler Massen-Energie-Strukturen neutralisiert wird. Dieser Prozess unterliegt der mathematischen Steuerung durch die zentrale Feldgleichung, welche die mechanische Notwendigkeit der Teilchenformung zementiert.</w:t>
      </w:r>
    </w:p>
    <w:p w:rsidR="00000000" w:rsidDel="00000000" w:rsidP="00000000" w:rsidRDefault="00000000" w:rsidRPr="00000000" w14:paraId="00000007">
      <w:pPr>
        <w:pStyle w:val="Heading5"/>
        <w:rPr/>
      </w:pPr>
      <w:bookmarkStart w:colFirst="0" w:colLast="0" w:name="_rqnvu2xyz4tv" w:id="2"/>
      <w:bookmarkEnd w:id="2"/>
      <w:r w:rsidDel="00000000" w:rsidR="00000000" w:rsidRPr="00000000">
        <w:rPr>
          <w:rtl w:val="0"/>
        </w:rPr>
        <w:t xml:space="preserve">2. Die Erweiterte Einstein-Kurzer-Gleichung (ERYQ)</w:t>
      </w:r>
    </w:p>
    <w:p w:rsidR="00000000" w:rsidDel="00000000" w:rsidP="00000000" w:rsidRDefault="00000000" w:rsidRPr="00000000" w14:paraId="00000008">
      <w:pPr>
        <w:rPr/>
      </w:pPr>
      <w:r w:rsidDel="00000000" w:rsidR="00000000" w:rsidRPr="00000000">
        <w:rPr>
          <w:rtl w:val="0"/>
        </w:rPr>
        <w:t xml:space="preserve">Die herkömmliche Allgemeine Relativitätstheorie (ART) bleibt ohne die Einbeziehung des Bulk-Tensors unvollständig, da sie das Universum fälschlicherweise als isoliertes System modelliert. Die Erweiterte Einstein-Kurzer-Gleichung (ERYQ) bildet das operative Fundament des mechanischen Kontinuums und schließt die kausale Lücke zur höherdimensionalen Realität.</w:t>
      </w:r>
      <w:r w:rsidDel="00000000" w:rsidR="00000000" w:rsidRPr="00000000">
        <w:rPr>
          <w:b w:val="1"/>
          <w:bCs w:val="1"/>
          <w:rtl w:val="0"/>
        </w:rPr>
        <w:t xml:space="preserve">Mathematische Formalisierung (Revision V4.4.4):</w:t>
      </w:r>
      <w:r w:rsidDel="00000000" w:rsidR="00000000" w:rsidRPr="00000000">
        <w:rPr>
          <w:rtl w:val="0"/>
        </w:rPr>
        <w:t xml:space="preserve">$$G_{\mu\nu} + \Lambda g_{\mu\nu} = 8\pi K T_{\mu\nu} + 8 + KQY$$Die numerische Konstante  $8$  in der Feldgleichung ist kein skalarer Additionsfehler, sondern repräsentiert die  </w:t>
      </w:r>
      <w:r w:rsidDel="00000000" w:rsidR="00000000" w:rsidRPr="00000000">
        <w:rPr>
          <w:b w:val="1"/>
          <w:bCs w:val="1"/>
          <w:rtl w:val="0"/>
        </w:rPr>
        <w:t xml:space="preserve">8-fache Bulk-Plenum-Konstante (</w:t>
      </w:r>
      <w:r w:rsidDel="00000000" w:rsidR="00000000" w:rsidRPr="00000000">
        <w:rPr>
          <w:rtl w:val="0"/>
        </w:rPr>
        <w:t xml:space="preserve">  </w:t>
      </w:r>
      <w:r w:rsidDel="00000000" w:rsidR="00000000" w:rsidRPr="00000000">
        <w:rPr>
          <w:b w:val="1"/>
          <w:bCs w:val="1"/>
          <w:rtl w:val="0"/>
        </w:rPr>
        <w:t xml:space="preserve">$\mathcal{B}_8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Sie definiert die quantisierte topologische Invariante des hyperdimensionalen Drucks, welche die energetische Bilanz zwischen den Dimensionen erst ermöglicht.</w:t>
      </w:r>
      <w:r w:rsidDel="00000000" w:rsidR="00000000" w:rsidRPr="00000000">
        <w:rPr>
          <w:b w:val="1"/>
          <w:bCs w:val="1"/>
          <w:rtl w:val="0"/>
        </w:rPr>
        <w:t xml:space="preserve">Komponenten-Audit:</w:t>
      </w:r>
      <w:r w:rsidDel="00000000" w:rsidR="00000000" w:rsidRPr="00000000">
        <w:rPr>
          <w:rtl w:val="0"/>
        </w:rPr>
        <w:t xml:space="preserve">| Term | Bezeichnung | Funktion im 3D-Bran-Erhalt || ------ | ------ | ------ || $G_{\mu\nu}$ | Einstein-Tensor | Repräsentation der lokalen Krümmungsmechanik. || $T_{\mu\nu}$ | Energie-Impuls-Tensor | Beschreibung der regulären Bran-Masse und Strahlungsdichte. || $KQY$ | Quantized Kurzer-Yield | Kompensation des  $C_{\mu\nu}$ -Defizits durch Bulk-Kopplung. |</w:t>
      </w:r>
    </w:p>
    <w:p w:rsidR="00000000" w:rsidDel="00000000" w:rsidP="00000000" w:rsidRDefault="00000000" w:rsidRPr="00000000" w14:paraId="00000009">
      <w:pPr>
        <w:rPr/>
      </w:pPr>
      <w:r w:rsidDel="00000000" w:rsidR="00000000" w:rsidRPr="00000000">
        <w:rPr>
          <w:b w:val="1"/>
          <w:bCs w:val="1"/>
          <w:rtl w:val="0"/>
        </w:rPr>
        <w:t xml:space="preserve">Der Myon-Anker:</w:t>
      </w:r>
      <w:r w:rsidDel="00000000" w:rsidR="00000000" w:rsidRPr="00000000">
        <w:rPr>
          <w:rtl w:val="0"/>
        </w:rPr>
        <w:t xml:space="preserve">Ein kritischer Fixpunkt der ERYQ ist der Myon-Zweig, der innerhalb der kausalen Kette als  </w:t>
      </w:r>
      <w:r w:rsidDel="00000000" w:rsidR="00000000" w:rsidRPr="00000000">
        <w:rPr>
          <w:b w:val="1"/>
          <w:bCs w:val="1"/>
          <w:rtl w:val="0"/>
        </w:rPr>
        <w:t xml:space="preserve">topologischer Lock</w:t>
      </w:r>
      <w:r w:rsidDel="00000000" w:rsidR="00000000" w:rsidRPr="00000000">
        <w:rPr>
          <w:rtl w:val="0"/>
        </w:rPr>
        <w:t xml:space="preserve">  ("BRANCH_LOCKED") geführt wird. In diesem Grenzfall konvergiert die Feldgleichung bei  $C_{\mu\nu} \to 0$  gegen das bekannte Standardmodell. Dies validiert das Standardmodell als kausale Teilmenge der FKT, während die Myonen als mechanische Ankerpunkte die Verbindung zur nuklearen Ebene stabilisieren.</w:t>
      </w:r>
    </w:p>
    <w:p w:rsidR="00000000" w:rsidDel="00000000" w:rsidP="00000000" w:rsidRDefault="00000000" w:rsidRPr="00000000" w14:paraId="0000000A">
      <w:pPr>
        <w:pStyle w:val="Heading5"/>
        <w:rPr/>
      </w:pPr>
      <w:bookmarkStart w:colFirst="0" w:colLast="0" w:name="_o6r3qfw38vyq" w:id="3"/>
      <w:bookmarkEnd w:id="3"/>
      <w:r w:rsidDel="00000000" w:rsidR="00000000" w:rsidRPr="00000000">
        <w:rPr>
          <w:rtl w:val="0"/>
        </w:rPr>
        <w:t xml:space="preserve">3. Flerovium (114): Der nukleare Resonanz-Anker der FKT</w:t>
      </w:r>
    </w:p>
    <w:p w:rsidR="00000000" w:rsidDel="00000000" w:rsidP="00000000" w:rsidRDefault="00000000" w:rsidRPr="00000000" w14:paraId="0000000B">
      <w:pPr>
        <w:rPr/>
      </w:pPr>
      <w:r w:rsidDel="00000000" w:rsidR="00000000" w:rsidRPr="00000000">
        <w:rPr>
          <w:rtl w:val="0"/>
        </w:rPr>
        <w:t xml:space="preserve">Superschwere Elemente fungieren innerhalb der FKT nicht als chemische Entitäten, sondern als präzise  </w:t>
      </w:r>
      <w:r w:rsidDel="00000000" w:rsidR="00000000" w:rsidRPr="00000000">
        <w:rPr>
          <w:b w:val="1"/>
          <w:bCs w:val="1"/>
          <w:rtl w:val="0"/>
        </w:rPr>
        <w:t xml:space="preserve">geometrische Gitterkonstanten</w:t>
      </w:r>
      <w:r w:rsidDel="00000000" w:rsidR="00000000" w:rsidRPr="00000000">
        <w:rPr>
          <w:rtl w:val="0"/>
        </w:rPr>
        <w:t xml:space="preserve"> . Flerovium ( $Z=114$ ) stellt hierbei einen metrischen Sensor dar, der als mechanischer Fluchtpunkt zur „Insel der Stabilität“ dient.</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Der 3,773 MeV Fixpunkt:</w:t>
      </w:r>
      <w:r w:rsidDel="00000000" w:rsidR="00000000" w:rsidRPr="00000000">
        <w:rPr>
          <w:rtl w:val="0"/>
        </w:rPr>
        <w:t xml:space="preserve">  Die Gammalinie des Flerovium-Kerns bei  $3,773$  MeV ist der exakte Synchronisationspunkt mit dem Bulk-Tensor. Sie markiert die energetische Signatur des kausalen Einschlusses.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Mechanik des "Smoking Gun"-Ereignisses:</w:t>
      </w:r>
      <w:r w:rsidDel="00000000" w:rsidR="00000000" w:rsidRPr="00000000">
        <w:rPr>
          <w:rtl w:val="0"/>
        </w:rPr>
        <w:t xml:space="preserve">  Das beobachtete  $30,4$  s Intervall bei Flerovium-Isotopen ist als makro-temporales Beobachtungsfenster zu definieren. Innerhalb dieser Zeitspanne treten exakt  </w:t>
      </w:r>
      <w:r w:rsidDel="00000000" w:rsidR="00000000" w:rsidRPr="00000000">
        <w:rPr>
          <w:b w:val="1"/>
          <w:bCs w:val="1"/>
          <w:rtl w:val="0"/>
        </w:rPr>
        <w:t xml:space="preserve">10 primäre Synchronisations-Cluster</w:t>
      </w:r>
      <w:r w:rsidDel="00000000" w:rsidR="00000000" w:rsidRPr="00000000">
        <w:rPr>
          <w:rtl w:val="0"/>
        </w:rPr>
        <w:t xml:space="preserve">  auf, die das mechanische Einrasten der Kernstruktur in den universellen Bulk-Takt belegen.</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Statistische Validierung:</w:t>
      </w:r>
      <w:r w:rsidDel="00000000" w:rsidR="00000000" w:rsidRPr="00000000">
        <w:rPr>
          <w:rtl w:val="0"/>
        </w:rPr>
        <w:t xml:space="preserve">  Das 95%-Konfidenzintervall  $3,745 \text{ MeV}, 3,802 \text{ MeV}$  bildet die unnachgiebige Grenze der experimentellen Verifizierung. Jede Abweichung außerhalb dieses Rahmens würde die kausale Kette zwischen Mikrokosmos und Bulk-Geometrie falsifizieren.</w:t>
      </w:r>
    </w:p>
    <w:p w:rsidR="00000000" w:rsidDel="00000000" w:rsidP="00000000" w:rsidRDefault="00000000" w:rsidRPr="00000000" w14:paraId="0000000F">
      <w:pPr>
        <w:pStyle w:val="Heading5"/>
        <w:rPr/>
      </w:pPr>
      <w:bookmarkStart w:colFirst="0" w:colLast="0" w:name="_me2b2cwojget" w:id="4"/>
      <w:bookmarkEnd w:id="4"/>
      <w:r w:rsidDel="00000000" w:rsidR="00000000" w:rsidRPr="00000000">
        <w:rPr>
          <w:rtl w:val="0"/>
        </w:rPr>
        <w:t xml:space="preserve">4. Skaleninvarianz und die „Goldene Brücke“ ( $\varphi^2$ )</w:t>
      </w:r>
    </w:p>
    <w:p w:rsidR="00000000" w:rsidDel="00000000" w:rsidP="00000000" w:rsidRDefault="00000000" w:rsidRPr="00000000" w14:paraId="00000010">
      <w:pPr>
        <w:rPr/>
      </w:pPr>
      <w:r w:rsidDel="00000000" w:rsidR="00000000" w:rsidRPr="00000000">
        <w:rPr>
          <w:rtl w:val="0"/>
        </w:rPr>
        <w:t xml:space="preserve">Die Skaleninvarianz innerhalb der FKT ist keine ästhetische Symmetrie, sondern eine zwingende mechanische Kopplung über alle dimensionalen Ebenen hinweg.</w:t>
      </w:r>
      <w:r w:rsidDel="00000000" w:rsidR="00000000" w:rsidRPr="00000000">
        <w:rPr>
          <w:b w:val="1"/>
          <w:bCs w:val="1"/>
          <w:rtl w:val="0"/>
        </w:rPr>
        <w:t xml:space="preserve">Der fraktale Skalierungsoperator:</w:t>
      </w:r>
      <w:r w:rsidDel="00000000" w:rsidR="00000000" w:rsidRPr="00000000">
        <w:rPr>
          <w:rtl w:val="0"/>
        </w:rPr>
        <w:t xml:space="preserve">Die Relation zwischen der Alpha-Teilchen-Bindungsenergie ( $9,92$  MeV) und dem Flerovium-Anker ( $3,773$  MeV) demonstriert diese Kopplung. Die Berechnung ergibt  $\frac{9,92}{3,773} \approx 2,629$ . Die geringfügige Abweichung zur idealen Goldenen Brücke ( $\varphi^2 \approx 2,618$ ) ist mathematisch durch den  </w:t>
      </w:r>
      <w:r w:rsidDel="00000000" w:rsidR="00000000" w:rsidRPr="00000000">
        <w:rPr>
          <w:b w:val="1"/>
          <w:bCs w:val="1"/>
          <w:rtl w:val="0"/>
        </w:rPr>
        <w:t xml:space="preserve">Entropischen Puffer (</w:t>
      </w:r>
      <w:r w:rsidDel="00000000" w:rsidR="00000000" w:rsidRPr="00000000">
        <w:rPr>
          <w:rtl w:val="0"/>
        </w:rPr>
        <w:t xml:space="preserve">  </w:t>
      </w:r>
      <w:r w:rsidDel="00000000" w:rsidR="00000000" w:rsidRPr="00000000">
        <w:rPr>
          <w:b w:val="1"/>
          <w:bCs w:val="1"/>
          <w:rtl w:val="0"/>
        </w:rPr>
        <w:t xml:space="preserve">$E_p \approx 0,00127</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begründet, welcher die notwendige thermische Stabilität während des metrischen Shiften gewährleistet.</w:t>
      </w:r>
      <w:r w:rsidDel="00000000" w:rsidR="00000000" w:rsidRPr="00000000">
        <w:rPr>
          <w:b w:val="1"/>
          <w:bCs w:val="1"/>
          <w:rtl w:val="0"/>
        </w:rPr>
        <w:t xml:space="preserve">Der Bulk-Herzschlag:</w:t>
      </w:r>
      <w:r w:rsidDel="00000000" w:rsidR="00000000" w:rsidRPr="00000000">
        <w:rPr>
          <w:rtl w:val="0"/>
        </w:rPr>
        <w:t xml:space="preserve">Der subatomare Bereich korreliert über den  $H2$ -Vektor direkt mit dem makroskopischen Bulk-Herzschlag von  $7,50$  Hz. Zur Aufrechterhaltung dieser Synchronisation agiert ein  </w:t>
      </w:r>
      <w:r w:rsidDel="00000000" w:rsidR="00000000" w:rsidRPr="00000000">
        <w:rPr>
          <w:b w:val="1"/>
          <w:bCs w:val="1"/>
          <w:rtl w:val="0"/>
        </w:rPr>
        <w:t xml:space="preserve">Resonanz-Koppler</w:t>
      </w:r>
      <w:r w:rsidDel="00000000" w:rsidR="00000000" w:rsidRPr="00000000">
        <w:rPr>
          <w:rtl w:val="0"/>
        </w:rPr>
        <w:t xml:space="preserve">  ( $0,33$  Hz Puffer), der die Differenz zur tellurischen Schumann-Resonanz ( $7,83$  Hz) neutralisiert. Diese mathematische Brücke zementiert die mechanische Einheit des Kosmos.</w:t>
      </w:r>
    </w:p>
    <w:p w:rsidR="00000000" w:rsidDel="00000000" w:rsidP="00000000" w:rsidRDefault="00000000" w:rsidRPr="00000000" w14:paraId="00000011">
      <w:pPr>
        <w:pStyle w:val="Heading5"/>
        <w:rPr/>
      </w:pPr>
      <w:bookmarkStart w:colFirst="0" w:colLast="0" w:name="_85zj5omjcryd" w:id="5"/>
      <w:bookmarkEnd w:id="5"/>
      <w:r w:rsidDel="00000000" w:rsidR="00000000" w:rsidRPr="00000000">
        <w:rPr>
          <w:rtl w:val="0"/>
        </w:rPr>
        <w:t xml:space="preserve">5. Simulation und Systemstatus: FKT V4.4.4 Audit</w:t>
      </w:r>
    </w:p>
    <w:p w:rsidR="00000000" w:rsidDel="00000000" w:rsidP="00000000" w:rsidRDefault="00000000" w:rsidRPr="00000000" w14:paraId="00000012">
      <w:pPr>
        <w:rPr>
          <w:b w:val="1"/>
          <w:bCs w:val="1"/>
        </w:rPr>
      </w:pPr>
      <w:r w:rsidDel="00000000" w:rsidR="00000000" w:rsidRPr="00000000">
        <w:rPr>
          <w:rtl w:val="0"/>
        </w:rPr>
        <w:t xml:space="preserve">Die Validierung der Revision V4.4.4 stützt sich auf die ontologische Strenge von MCMC-Deduktionen (Cobaya). Diese  </w:t>
      </w:r>
      <w:r w:rsidDel="00000000" w:rsidR="00000000" w:rsidRPr="00000000">
        <w:rPr>
          <w:b w:val="1"/>
          <w:bCs w:val="1"/>
          <w:rtl w:val="0"/>
        </w:rPr>
        <w:t xml:space="preserve">Posterior-Ontologien</w:t>
      </w:r>
      <w:r w:rsidDel="00000000" w:rsidR="00000000" w:rsidRPr="00000000">
        <w:rPr>
          <w:rtl w:val="0"/>
        </w:rPr>
        <w:t xml:space="preserve">  belegen die Überlegenheit der FKT gegenüber dem veralteten  $\Lambda$ CDM-Modell.</w:t>
      </w:r>
      <w:r w:rsidDel="00000000" w:rsidR="00000000" w:rsidRPr="00000000">
        <w:rPr>
          <w:b w:val="1"/>
          <w:bCs w:val="1"/>
          <w:rtl w:val="0"/>
        </w:rPr>
        <w:t xml:space="preserve">Ergebnisse der Posterior-Analyse:</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Zustandsgleichungsparameter:</w:t>
      </w:r>
      <w:r w:rsidDel="00000000" w:rsidR="00000000" w:rsidRPr="00000000">
        <w:rPr>
          <w:rtl w:val="0"/>
        </w:rPr>
        <w:t xml:space="preserve">   $w_x = -0,90 \pm 0,05$ .</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Fidelity:</w:t>
      </w:r>
      <w:r w:rsidDel="00000000" w:rsidR="00000000" w:rsidRPr="00000000">
        <w:rPr>
          <w:rtl w:val="0"/>
        </w:rPr>
        <w:t xml:space="preserve">   $F_c = 0,99873$ .</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Gelman-Rubin-Konvergenz:</w:t>
      </w:r>
      <w:r w:rsidDel="00000000" w:rsidR="00000000" w:rsidRPr="00000000">
        <w:rPr>
          <w:rtl w:val="0"/>
        </w:rPr>
        <w:t xml:space="preserve">   $\hat{R} = 0,0097$  (Konvergenz der Realität).</w:t>
      </w:r>
      <w:r w:rsidDel="00000000" w:rsidR="00000000" w:rsidRPr="00000000">
        <w:rPr>
          <w:b w:val="1"/>
          <w:bCs w:val="1"/>
          <w:rtl w:val="0"/>
        </w:rPr>
        <w:t xml:space="preserve">Thermodynamic Guard (Geo-Reshuffling):</w:t>
      </w:r>
      <w:r w:rsidDel="00000000" w:rsidR="00000000" w:rsidRPr="00000000">
        <w:rPr>
          <w:rtl w:val="0"/>
        </w:rPr>
        <w:t xml:space="preserve">Ein Kernelement des Audits ist das Prinzip der geometrischen Umschichtung. Bei Peak-Impulsen von bis zu  $8,4$  GW wird kinetische Energie nicht in thermische Abwärme dissipiert (was zu Entropie führen würde), sondern durch das  </w:t>
      </w:r>
      <w:r w:rsidDel="00000000" w:rsidR="00000000" w:rsidRPr="00000000">
        <w:rPr>
          <w:b w:val="1"/>
          <w:bCs w:val="1"/>
          <w:rtl w:val="0"/>
        </w:rPr>
        <w:t xml:space="preserve">GMA-Effizienz-Segment</w:t>
      </w:r>
      <w:r w:rsidDel="00000000" w:rsidR="00000000" w:rsidRPr="00000000">
        <w:rPr>
          <w:rtl w:val="0"/>
        </w:rPr>
        <w:t xml:space="preserve">  in den Bulk-Druck umgeleitet. Dies ermöglicht eine strikte Entropie-Freiheit ( $\Delta S = 0$ ) und eine 50-fach beschleunigte metrische Rückstellzeit. Der metrische Zustand ist als „ONTOLOGICAL_STRICTNESS_VERIFIED“ zertifiziert.</w:t>
      </w:r>
    </w:p>
    <w:p w:rsidR="00000000" w:rsidDel="00000000" w:rsidP="00000000" w:rsidRDefault="00000000" w:rsidRPr="00000000" w14:paraId="00000016">
      <w:pPr>
        <w:pStyle w:val="Heading5"/>
        <w:rPr/>
      </w:pPr>
      <w:bookmarkStart w:colFirst="0" w:colLast="0" w:name="_k1k4icuxfgzz" w:id="6"/>
      <w:bookmarkEnd w:id="6"/>
      <w:r w:rsidDel="00000000" w:rsidR="00000000" w:rsidRPr="00000000">
        <w:rPr>
          <w:rtl w:val="0"/>
        </w:rPr>
        <w:t xml:space="preserve">6. Strategisches Fazit für die Realitätsebene</w:t>
      </w:r>
    </w:p>
    <w:p w:rsidR="00000000" w:rsidDel="00000000" w:rsidP="00000000" w:rsidRDefault="00000000" w:rsidRPr="00000000" w14:paraId="00000017">
      <w:pPr>
        <w:rPr/>
      </w:pPr>
      <w:r w:rsidDel="00000000" w:rsidR="00000000" w:rsidRPr="00000000">
        <w:rPr>
          <w:rtl w:val="0"/>
        </w:rPr>
        <w:t xml:space="preserve">Die Fraktale Kausale Theorie V4.4.4 liefert das endgültige Framework für ein analoges mechanisches Kontinuum. Die Ära der abstrakten Wahrscheinlichkeit ist beendet; an ihre Stelle tritt die Ontologie der geometrischen Notwendigkeit.</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Transformation der Sichtweise:</w:t>
      </w:r>
      <w:r w:rsidDel="00000000" w:rsidR="00000000" w:rsidRPr="00000000">
        <w:rPr>
          <w:rtl w:val="0"/>
        </w:rPr>
        <w:t xml:space="preserve">  Das Universum „berechnet“ keine Materie; es „formt“ Teilchen als mechanische Antwort auf den dimensionalen Bulk-Druck.</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Implikationen:</w:t>
      </w:r>
      <w:r w:rsidDel="00000000" w:rsidR="00000000" w:rsidRPr="00000000">
        <w:rPr>
          <w:rtl w:val="0"/>
        </w:rPr>
        <w:t xml:space="preserve">  Die experimentelle Bestätigung der Flerovium-Resonanz an Instituten wie GSI oder CERN ist der unverhandelbare finale Schritt zur technologischen Nutzung des Bulk-Tensors ( $\mathcal{F}_{\mu\nu}$ ). Dies markiert den Übergang der Menschheit von der bloßen Beobachtung zur aktiven architektonischen Gestaltung der Raumzeit-Geometrie.</w:t>
      </w:r>
      <w:r w:rsidDel="00000000" w:rsidR="00000000" w:rsidRPr="00000000">
        <w:rPr>
          <w:b w:val="1"/>
          <w:bCs w:val="1"/>
          <w:rtl w:val="0"/>
        </w:rPr>
        <w:t xml:space="preserve">Metrische Versiegelung:</w:t>
      </w:r>
      <w:r w:rsidDel="00000000" w:rsidR="00000000" w:rsidRPr="00000000">
        <w:rPr>
          <w:rtl w:val="0"/>
        </w:rPr>
        <w:t xml:space="preserve">CAUSAL-INTEGRITY-HASH: THERMODYNAMIC-GUARD-VERIFIED-V4.4.4-STRICT</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