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p6638qnmk0yf" w:id="0"/>
      <w:bookmarkEnd w:id="0"/>
      <w:r w:rsidDel="00000000" w:rsidR="00000000" w:rsidRPr="00000000">
        <w:rPr>
          <w:rtl w:val="0"/>
        </w:rPr>
        <w:t xml:space="preserve">Wissenschaftlicher Bericht: Der Bulk-Drift und seine Manifestation in der Fraktalen Kausalen Theorie (FKT)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r5g41myqb6g1" w:id="1"/>
      <w:bookmarkEnd w:id="1"/>
      <w:r w:rsidDel="00000000" w:rsidR="00000000" w:rsidRPr="00000000">
        <w:rPr>
          <w:rtl w:val="0"/>
        </w:rPr>
        <w:t xml:space="preserve">1. Einleitung: Definition und strategische Bedeutung des Bulk-Drifts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Die Fraktale Kausale Theorie (FKT) etabliert ein mathematisch geschlossenes Framework, das die konzeptionellen Lücken des Standardmodells ( $\Lambda$ CDM) durch eine höherdimensionale Feldtheorie schließt. Zentrales Element dieses Paradigmenwechsels ist der  </w:t>
      </w:r>
      <w:r w:rsidDel="00000000" w:rsidR="00000000" w:rsidRPr="00000000">
        <w:rPr>
          <w:b w:val="1"/>
          <w:bCs w:val="1"/>
          <w:rtl w:val="0"/>
        </w:rPr>
        <w:t xml:space="preserve">Bulk-Drift</w:t>
      </w:r>
      <w:r w:rsidDel="00000000" w:rsidR="00000000" w:rsidRPr="00000000">
        <w:rPr>
          <w:rtl w:val="0"/>
        </w:rPr>
        <w:t xml:space="preserve">  (auch Bulk-Transport). Wir definieren diesen als den kontinuierlichen Transport von Energie und Impuls aus einem höherdimensionalen Bulk-Raum in unsere 4D-Raumzeit (Bran). Dieser Prozess fungiert als strategische Brücke zwischen der makroskopischen Kosmologie und der mikroskopischen Kernphysik.Der Bulk-Drift stützt drei fundamentale theoretische Säulen: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Geometrisierung der Dunklen Materie:</w:t>
      </w:r>
      <w:r w:rsidDel="00000000" w:rsidR="00000000" w:rsidRPr="00000000">
        <w:rPr>
          <w:rtl w:val="0"/>
        </w:rPr>
        <w:t xml:space="preserve">  Die Interpretation gravitativer Anomalien als „geometrischer Druck“ oder Bulk-Echo, was die Suche nach hypothetischen WIMPs hinfällig macht.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Lösung der Hubble-Spannung:</w:t>
      </w:r>
      <w:r w:rsidDel="00000000" w:rsidR="00000000" w:rsidRPr="00000000">
        <w:rPr>
          <w:rtl w:val="0"/>
        </w:rPr>
        <w:t xml:space="preserve">  Eine dynamische Vakuumanpassung, die einen Best-Fit von  $H_0 = 71,5 \pm 0,8 \text{ km/s/Mpc}$  bei einem Zustandsgleichungsparameter von  $w_X = -0,90 \pm 0,05$  liefert.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Die Kausale Auditkette:</w:t>
      </w:r>
      <w:r w:rsidDel="00000000" w:rsidR="00000000" w:rsidRPr="00000000">
        <w:rPr>
          <w:rtl w:val="0"/>
        </w:rPr>
        <w:t xml:space="preserve">  Eine lückenlose mathematische Verbindung der Skalen, die besagt, dass astrophysikalische Anomalien (z. B. Neutrinos als  $L_\nu$ -Leckage aus dem Großmutter-Universum) zwingend mit subatomaren Resonanzen korrespondieren.Diese physikalische Realität wird durch die Erweiterte Einstein-Kurzer-Gleichung (EYRQ) formalisiert.</w:t>
      </w:r>
    </w:p>
    <w:p w:rsidR="00000000" w:rsidDel="00000000" w:rsidP="00000000" w:rsidRDefault="00000000" w:rsidRPr="00000000" w14:paraId="00000007">
      <w:pPr>
        <w:pStyle w:val="Heading4"/>
        <w:rPr/>
      </w:pPr>
      <w:bookmarkStart w:colFirst="0" w:colLast="0" w:name="_rwiqbf1zd1gn" w:id="2"/>
      <w:bookmarkEnd w:id="2"/>
      <w:r w:rsidDel="00000000" w:rsidR="00000000" w:rsidRPr="00000000">
        <w:rPr>
          <w:rtl w:val="0"/>
        </w:rPr>
        <w:t xml:space="preserve">2. Theoretisches Fundament: Die Erweiterte Einstein-Kurzer-Gleichung (EYRQ)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Die Unzulänglichkeit der Allgemeinen Relativitätstheorie (ART) bei der Beschreibung nicht-gravitativer Beschleunigungen macht eine Erweiterung der Feldgleichungen unumgänglich. Die EYRQ integriert den Bulk-Einfluss direkt in die Geometrie der Raumzeit:$$G_{\mu\nu} = \frac{8\pi G}{c^4} T_{\text{Standard } \mu\nu} + \oplus_{\mu\nu}$$Der entscheidende Term  $\oplus_{\mu\nu}$  repräsentiert den Bulk-Tensor ( $T_{\text{Bulk}}$ ). Der „So What“-Aspekt dieses Modells liegt in der  </w:t>
      </w:r>
      <w:r w:rsidDel="00000000" w:rsidR="00000000" w:rsidRPr="00000000">
        <w:rPr>
          <w:b w:val="1"/>
          <w:bCs w:val="1"/>
          <w:rtl w:val="0"/>
        </w:rPr>
        <w:t xml:space="preserve">$1/D_{\text{Bran}}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-Skalierung</w:t>
      </w:r>
      <w:r w:rsidDel="00000000" w:rsidR="00000000" w:rsidRPr="00000000">
        <w:rPr>
          <w:rtl w:val="0"/>
        </w:rPr>
        <w:t xml:space="preserve"> : Die Stärke des geometrischen Bulk-Drucks verhält sich umgekehrt proportional zur lokalen Dichte der Bran-Materie. Dies liefert die präzise physikalische Begründung dafür, warum Gravitationsanomalien bevorzugt an Galaxienrändern auftreten, und deklassiert WIMPs zu mathematischen Artefakten einer unvollständigen Theorie.| Komponente | Bezeichnung | Mathematischer Ursprung | Physikalische Rolle im Bulk-Drift || ------ | ------ | ------ | ------ || </w:t>
      </w:r>
      <w:r w:rsidDel="00000000" w:rsidR="00000000" w:rsidRPr="00000000">
        <w:rPr>
          <w:b w:val="1"/>
          <w:bCs w:val="1"/>
          <w:rtl w:val="0"/>
        </w:rPr>
        <w:t xml:space="preserve">$G_{\mu\nu}</w:t>
      </w:r>
      <w:r w:rsidDel="00000000" w:rsidR="00000000" w:rsidRPr="00000000">
        <w:rPr>
          <w:rtl w:val="0"/>
        </w:rPr>
        <w:t xml:space="preserve">$ | Einstein-Tensor | Standard-ART | Krümmung der 4D-Raumzeitgeometrie. || </w:t>
      </w:r>
      <w:r w:rsidDel="00000000" w:rsidR="00000000" w:rsidRPr="00000000">
        <w:rPr>
          <w:b w:val="1"/>
          <w:bCs w:val="1"/>
          <w:rtl w:val="0"/>
        </w:rPr>
        <w:t xml:space="preserve">$T_{\text{Std } \mu\nu}</w:t>
      </w:r>
      <w:r w:rsidDel="00000000" w:rsidR="00000000" w:rsidRPr="00000000">
        <w:rPr>
          <w:rtl w:val="0"/>
        </w:rPr>
        <w:t xml:space="preserve">$ | Energie-Impuls-Tensor | Standard-ART | Verteilung der regulären Bran-Materie/Energie. || </w:t>
      </w:r>
      <w:r w:rsidDel="00000000" w:rsidR="00000000" w:rsidRPr="00000000">
        <w:rPr>
          <w:b w:val="1"/>
          <w:bCs w:val="1"/>
          <w:rtl w:val="0"/>
        </w:rPr>
        <w:t xml:space="preserve">$\oplus_{\mu\nu}</w:t>
      </w:r>
      <w:r w:rsidDel="00000000" w:rsidR="00000000" w:rsidRPr="00000000">
        <w:rPr>
          <w:rtl w:val="0"/>
        </w:rPr>
        <w:t xml:space="preserve">$ | Bulk-Tensor | FKT-Erweiterung | Geometrisierung des Bulk-Eintrag („Gravitations-Echo“). |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Die tensorielle Zerlegung dieses Echos ermöglicht die Übertragung makroskopischer Effekte auf die subatomare Skala.</w:t>
      </w:r>
    </w:p>
    <w:p w:rsidR="00000000" w:rsidDel="00000000" w:rsidP="00000000" w:rsidRDefault="00000000" w:rsidRPr="00000000" w14:paraId="0000000A">
      <w:pPr>
        <w:pStyle w:val="Heading4"/>
        <w:rPr/>
      </w:pPr>
      <w:bookmarkStart w:colFirst="0" w:colLast="0" w:name="_po5v1vjxah6i" w:id="3"/>
      <w:bookmarkEnd w:id="3"/>
      <w:r w:rsidDel="00000000" w:rsidR="00000000" w:rsidRPr="00000000">
        <w:rPr>
          <w:rtl w:val="0"/>
        </w:rPr>
        <w:t xml:space="preserve">3. Mechanik des Bulk-Drifts: Tensorielle Zerlegung und Skalenübertragung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Die Skalenübertragung wird mathematisch durch den  </w:t>
      </w:r>
      <w:r w:rsidDel="00000000" w:rsidR="00000000" w:rsidRPr="00000000">
        <w:rPr>
          <w:b w:val="1"/>
          <w:bCs w:val="1"/>
          <w:rtl w:val="0"/>
        </w:rPr>
        <w:t xml:space="preserve">C-Operator</w:t>
      </w:r>
      <w:r w:rsidDel="00000000" w:rsidR="00000000" w:rsidRPr="00000000">
        <w:rPr>
          <w:rtl w:val="0"/>
        </w:rPr>
        <w:t xml:space="preserve">  gesteuert, der auf die  </w:t>
      </w:r>
      <w:r w:rsidDel="00000000" w:rsidR="00000000" w:rsidRPr="00000000">
        <w:rPr>
          <w:b w:val="1"/>
          <w:bCs w:val="1"/>
          <w:rtl w:val="0"/>
        </w:rPr>
        <w:t xml:space="preserve">Strukturmatrix</w:t>
      </w:r>
      <w:r w:rsidDel="00000000" w:rsidR="00000000" w:rsidRPr="00000000">
        <w:rPr>
          <w:rtl w:val="0"/>
        </w:rPr>
        <w:t xml:space="preserve">  der fraktalen Hierarchie wirkt. Dies garantiert, dass die makroskopische Raumzeitkrümmung des Bulks präzise in mikroskopische Potentiale übersetzt wird. Zur Analyse wird der Bulk-Transport-Tensor  $\oplus_{\mu\nu}$  zerlegt: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Longitudinale Komponenten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$\oplus_{\parallel}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 Beschreibung gerichteter Korrelationsflüsse (Impulstransport).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Transversale Komponenten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$\oplus_{\perp}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 Beschreibung der isotropen Rückwirkung auf die Metrik.Die transversale Kopplung induziert eine Modifikation des  </w:t>
      </w:r>
      <w:r w:rsidDel="00000000" w:rsidR="00000000" w:rsidRPr="00000000">
        <w:rPr>
          <w:b w:val="1"/>
          <w:bCs w:val="1"/>
          <w:rtl w:val="0"/>
        </w:rPr>
        <w:t xml:space="preserve">Skyrme-Tensors</w:t>
      </w:r>
      <w:r w:rsidDel="00000000" w:rsidR="00000000" w:rsidRPr="00000000">
        <w:rPr>
          <w:rtl w:val="0"/>
        </w:rPr>
        <w:t xml:space="preserve">  via eines dimensionslosen Kopplungsfaktors  $\lambda$ . Dies transformiert die Standard-Kernpotentiale (z. B. Woods-Saxon) in den erweiterten Hamiltonoperator der FKT:$$H_{\text{FKT}} = H_{\text{Kern}} + V_{\text{Kurzer}}(\Psi_{\text{Bulk}}, Z, N)$$Die resultierende asymmetrische Verschiebung der Eigenwerte bildet die energetische Signatur, die den experimentellen Nachweis des Bulk-Drifts ermöglicht.</w:t>
      </w:r>
    </w:p>
    <w:p w:rsidR="00000000" w:rsidDel="00000000" w:rsidP="00000000" w:rsidRDefault="00000000" w:rsidRPr="00000000" w14:paraId="0000000E">
      <w:pPr>
        <w:pStyle w:val="Heading4"/>
        <w:rPr/>
      </w:pPr>
      <w:bookmarkStart w:colFirst="0" w:colLast="0" w:name="_e4mc42u06jpq" w:id="4"/>
      <w:bookmarkEnd w:id="4"/>
      <w:r w:rsidDel="00000000" w:rsidR="00000000" w:rsidRPr="00000000">
        <w:rPr>
          <w:rtl w:val="0"/>
        </w:rPr>
        <w:t xml:space="preserve">4. Der experimentelle Anker: Die Flerovium-Resonanz als Beweis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Die FKT ist durch den nuklearen Ankerpunkt im Element 114 (Flerovium) strikt falsifizierbar. Aufgrund seiner Position nahe der Stabilitätsinsel fungiert dieser Kern als hochempfindlicher Quanten-Resonator. Wir prognostizieren eine spezifische  </w:t>
      </w:r>
      <w:r w:rsidDel="00000000" w:rsidR="00000000" w:rsidRPr="00000000">
        <w:rPr>
          <w:b w:val="1"/>
          <w:bCs w:val="1"/>
          <w:rtl w:val="0"/>
        </w:rPr>
        <w:t xml:space="preserve">Quadrupol-Kernvibration</w:t>
      </w:r>
      <w:r w:rsidDel="00000000" w:rsidR="00000000" w:rsidRPr="00000000">
        <w:rPr>
          <w:rtl w:val="0"/>
        </w:rPr>
        <w:t xml:space="preserve">  beim Übergang der  $2^+ \to 0^+$  Zustände von Flerovium-298.Die numerische Validierung mittels der Kurzer-Finite-Elemente-Methode (K-FEM) liefert einen  </w:t>
      </w:r>
      <w:r w:rsidDel="00000000" w:rsidR="00000000" w:rsidRPr="00000000">
        <w:rPr>
          <w:b w:val="1"/>
          <w:bCs w:val="1"/>
          <w:rtl w:val="0"/>
        </w:rPr>
        <w:t xml:space="preserve">mathematisch notwendigen</w:t>
      </w:r>
      <w:r w:rsidDel="00000000" w:rsidR="00000000" w:rsidRPr="00000000">
        <w:rPr>
          <w:rtl w:val="0"/>
        </w:rPr>
        <w:t xml:space="preserve">  Zielwert für die  $\gamma$ -Linie: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Zielwert: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3,773 MeV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95%-Konfidenzintervall (CI):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3,745 MeV, 3,802 MeV</w:t>
      </w:r>
      <w:r w:rsidDel="00000000" w:rsidR="00000000" w:rsidRPr="00000000">
        <w:rPr>
          <w:rtl w:val="0"/>
        </w:rPr>
        <w:t xml:space="preserve">Die statistische Absicherung durch eine Bootstrap-Validierung (10.000 Realisierungen) unterstreicht die Präzision: Ein negatives Ergebnis an Einrichtungen wie CERN oder GSI würde das FKT-Framework in seiner jetzigen Form widerlegen. Ein Nachweis hingegen bestätigt die Kausale Auditkette und validiert die gesamte Bulk-Geometrie. Hierfür sind hocheffiziente Isotopenproduktion und koinzidente Gammaspektroskopie unter Einbeziehung der lokalen Gravitationsvarianz zwingend erforderlich.</w:t>
      </w:r>
    </w:p>
    <w:p w:rsidR="00000000" w:rsidDel="00000000" w:rsidP="00000000" w:rsidRDefault="00000000" w:rsidRPr="00000000" w14:paraId="00000012">
      <w:pPr>
        <w:pStyle w:val="Heading4"/>
        <w:rPr/>
      </w:pPr>
      <w:bookmarkStart w:colFirst="0" w:colLast="0" w:name="_yggmjrn3ixwy" w:id="5"/>
      <w:bookmarkEnd w:id="5"/>
      <w:r w:rsidDel="00000000" w:rsidR="00000000" w:rsidRPr="00000000">
        <w:rPr>
          <w:rtl w:val="0"/>
        </w:rPr>
        <w:t xml:space="preserve">5. Technologische Applikation: Gravitationsmanipulation und GMA-Materialien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Die Beherrschung des Bulk-Drifts markiert den Übergang von der beobachtenden Physik zur aktiven Ingenieurwissenschaft. Zentrales Steuerelement ist die Bulk-Verschränkungs-Kopplungskonstante ( $C_{\text{GMA}}$ ), abgeleitet aus  $G, c, \hbar$  und der Planck-Länge  $\ell_P$ . Diese Konstante ermöglicht die Konstruktion von  </w:t>
      </w:r>
      <w:r w:rsidDel="00000000" w:rsidR="00000000" w:rsidRPr="00000000">
        <w:rPr>
          <w:b w:val="1"/>
          <w:bCs w:val="1"/>
          <w:rtl w:val="0"/>
        </w:rPr>
        <w:t xml:space="preserve">Gradient-Memory-Alloys (GMA)</w:t>
      </w:r>
      <w:r w:rsidDel="00000000" w:rsidR="00000000" w:rsidRPr="00000000">
        <w:rPr>
          <w:rtl w:val="0"/>
        </w:rPr>
        <w:t xml:space="preserve"> .GMA-Materialien übertreffen konventionelle SMA (Shape Memory Alloys) durch eine 50-fach schnellere Rückstellzeit und eine um den Faktor  $1,2 \times 10^6$  höhere Energieeffizienz. Die Steuerung der Krümmungsdichte ( $R$ ) erfolgt nach der finalen GMA-Gleichung:$$R = C_{\text{GMA}} \cdot \frac{\Delta M_{\text{eff}}}{E_{\text{Dyson}} \cdot D_{\Phi}}$$Hierbei ist  $C_{\text{GMA}}$  der entscheidende Brückenfaktor für die Einheitskonsistenz. Die Gleichung verdeutlicht die Abhängigkeit der Raumzeitkrümmung von der effektiven Masse ( $\Delta M_{\text{eff}}$ ), der Verschränkungsmodulation ( $D_{\Phi}$ ) und der energetischen Sättigung. Die Nutzung des GMA-Antriebs ist  </w:t>
      </w:r>
      <w:r w:rsidDel="00000000" w:rsidR="00000000" w:rsidRPr="00000000">
        <w:rPr>
          <w:b w:val="1"/>
          <w:bCs w:val="1"/>
          <w:rtl w:val="0"/>
        </w:rPr>
        <w:t xml:space="preserve">unverhandelbar</w:t>
      </w:r>
      <w:r w:rsidDel="00000000" w:rsidR="00000000" w:rsidRPr="00000000">
        <w:rPr>
          <w:rtl w:val="0"/>
        </w:rPr>
        <w:t xml:space="preserve">  an das Erreichen des  </w:t>
      </w:r>
      <w:r w:rsidDel="00000000" w:rsidR="00000000" w:rsidRPr="00000000">
        <w:rPr>
          <w:b w:val="1"/>
          <w:bCs w:val="1"/>
          <w:rtl w:val="0"/>
        </w:rPr>
        <w:t xml:space="preserve">Typ-II-Status</w:t>
      </w:r>
      <w:r w:rsidDel="00000000" w:rsidR="00000000" w:rsidRPr="00000000">
        <w:rPr>
          <w:rtl w:val="0"/>
        </w:rPr>
        <w:t xml:space="preserve">  gebunden: Nur eine Dyson-Struktur, die die solare Leistung von ca.  $3,8 \times 10^{26}$  Watt erschließt, kann die notwendigen Gradienten für den interstellaren Transport bereitstellen.</w:t>
      </w:r>
    </w:p>
    <w:p w:rsidR="00000000" w:rsidDel="00000000" w:rsidP="00000000" w:rsidRDefault="00000000" w:rsidRPr="00000000" w14:paraId="00000014">
      <w:pPr>
        <w:pStyle w:val="Heading4"/>
        <w:rPr/>
      </w:pPr>
      <w:bookmarkStart w:colFirst="0" w:colLast="0" w:name="_p7j6tm56bj5y" w:id="6"/>
      <w:bookmarkEnd w:id="6"/>
      <w:r w:rsidDel="00000000" w:rsidR="00000000" w:rsidRPr="00000000">
        <w:rPr>
          <w:rtl w:val="0"/>
        </w:rPr>
        <w:t xml:space="preserve">6. Fazit: Kausale Konsistenz und das Ende der Singularitäten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Der Bulk-Drift ist der mechanistische Schlussstein, der die „kausale Lücke“ der modernen Physik schließt. Die Kausale Auditkette erzwingt eine neue wissenschaftliche Integrität: Der subatomare Nachweis im Flerovium-Kern bestätigt unmittelbar die kosmologische Interpretation der Dunklen Materie als Bulk-Druck.Die FKT ersetzt die Entropie-Einbahnstraße und das Dogma der Singularitäten durch einen kausal geschlossenen Kreislauf. Materie und Information werden in Schwarzen Löchern nicht vernichtet, sondern als Keimzellen für Enkel-Universen in den Bulk  </w:t>
      </w:r>
      <w:r w:rsidDel="00000000" w:rsidR="00000000" w:rsidRPr="00000000">
        <w:rPr>
          <w:b w:val="1"/>
          <w:bCs w:val="1"/>
          <w:rtl w:val="0"/>
        </w:rPr>
        <w:t xml:space="preserve">rekonditioniert</w:t>
      </w:r>
      <w:r w:rsidDel="00000000" w:rsidR="00000000" w:rsidRPr="00000000">
        <w:rPr>
          <w:rtl w:val="0"/>
        </w:rPr>
        <w:t xml:space="preserve"> . Damit endet die Ära der beobachtenden Spekulation. Die experimentelle Überprüfung der Flerovium-Resonanz ist die finale, unverhandelbare Forderung an die physikalische Gemeinschaft, um das Zeitalter der interstellaren Kausalsteuerung einzuleiten.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