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ha4g06hq2xn" w:id="0"/>
      <w:bookmarkEnd w:id="0"/>
      <w:r w:rsidDel="00000000" w:rsidR="00000000" w:rsidRPr="00000000">
        <w:rPr>
          <w:rtl w:val="0"/>
        </w:rPr>
        <w:t xml:space="preserve">Wissenschaftlicher Sachstandsbericht: Die Fraktale Kausale Theorie (FKT) – Ontologische Strenge und technologische Konvergenz</w:t>
      </w:r>
    </w:p>
    <w:p w:rsidR="00000000" w:rsidDel="00000000" w:rsidP="00000000" w:rsidRDefault="00000000" w:rsidRPr="00000000" w14:paraId="00000002">
      <w:pPr>
        <w:pStyle w:val="Heading5"/>
        <w:rPr/>
      </w:pPr>
      <w:bookmarkStart w:colFirst="0" w:colLast="0" w:name="_6ya6fd7gh231" w:id="1"/>
      <w:bookmarkEnd w:id="1"/>
      <w:r w:rsidDel="00000000" w:rsidR="00000000" w:rsidRPr="00000000">
        <w:rPr>
          <w:rtl w:val="0"/>
        </w:rPr>
        <w:t xml:space="preserve">1. Einleitung: Die ontologische Krise der modernen Physik</w:t>
      </w:r>
    </w:p>
    <w:p w:rsidR="00000000" w:rsidDel="00000000" w:rsidP="00000000" w:rsidRDefault="00000000" w:rsidRPr="00000000" w14:paraId="00000003">
      <w:pPr>
        <w:rPr/>
      </w:pPr>
      <w:r w:rsidDel="00000000" w:rsidR="00000000" w:rsidRPr="00000000">
        <w:rPr>
          <w:rtl w:val="0"/>
        </w:rPr>
        <w:t xml:space="preserve">Die theoretische Physik unserer Ära ist durch eine fundamentale ontologische Krise gekennzeichnet, die sich am deutlichsten in der  $H_0$ -Spannung (Hubble-Tension) und der phänomenologischen Hilfskonstruktion der Dunklen Energie manifestiert. Aus der Perspektive der Systemarchitektur ist die Ursache nicht in Messfehlern, sondern in der „Kausalen Lücke“ der Allgemeinen Relativitätstheorie (ART) zu finden. Die ART begeht den systemischen Fehlschluss, die  $\mathbb{R}^4$ -Raumzeit als energetisch geschlossenes System zu behandeln. Die Fraktale Kausale Theorie (FKT) bricht dieses Dogma auf, indem sie die Raumzeit als offenes System definiert, das in einer permanenten, skalenübergreifenden Rückkopplung mit einem höherdimensionalen Bulk-Raum ( $\chi$ ) steht.</w:t>
      </w:r>
      <w:r w:rsidDel="00000000" w:rsidR="00000000" w:rsidRPr="00000000">
        <w:rPr>
          <w:b w:val="1"/>
          <w:bCs w:val="1"/>
          <w:rtl w:val="0"/>
        </w:rPr>
        <w:t xml:space="preserve">Diskrepanz der 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 Systemischer Vergleich</w:t>
      </w:r>
      <w:r w:rsidDel="00000000" w:rsidR="00000000" w:rsidRPr="00000000">
        <w:rPr>
          <w:rtl w:val="0"/>
        </w:rPr>
        <w:t xml:space="preserve">| Datenquelle | Messwert ( $H_0$  in km/s/Mpc) | Kausale Implikation || ------ | ------ | ------ || </w:t>
      </w:r>
      <w:r w:rsidDel="00000000" w:rsidR="00000000" w:rsidRPr="00000000">
        <w:rPr>
          <w:b w:val="1"/>
          <w:bCs w:val="1"/>
          <w:rtl w:val="0"/>
        </w:rPr>
        <w:t xml:space="preserve">Frühes Universum</w:t>
      </w:r>
      <w:r w:rsidDel="00000000" w:rsidR="00000000" w:rsidRPr="00000000">
        <w:rPr>
          <w:rtl w:val="0"/>
        </w:rPr>
        <w:t xml:space="preserve">  (Planck/CMB) | $67.4 \pm 0.5$ | $\Lambda$ CDM-Modell (theoretisch starr) || </w:t>
      </w:r>
      <w:r w:rsidDel="00000000" w:rsidR="00000000" w:rsidRPr="00000000">
        <w:rPr>
          <w:b w:val="1"/>
          <w:bCs w:val="1"/>
          <w:rtl w:val="0"/>
        </w:rPr>
        <w:t xml:space="preserve">Spätes Universum</w:t>
      </w:r>
      <w:r w:rsidDel="00000000" w:rsidR="00000000" w:rsidRPr="00000000">
        <w:rPr>
          <w:rtl w:val="0"/>
        </w:rPr>
        <w:t xml:space="preserve">  (SH0ES/lokal) | $73.0 \pm 1.0$ | Beobachtete Realität ( $&gt; 5\sigma$  Abweichung) || </w:t>
      </w:r>
      <w:r w:rsidDel="00000000" w:rsidR="00000000" w:rsidRPr="00000000">
        <w:rPr>
          <w:b w:val="1"/>
          <w:bCs w:val="1"/>
          <w:rtl w:val="0"/>
        </w:rPr>
        <w:t xml:space="preserve">FKT V4.3 Inferenz</w:t>
      </w:r>
      <w:r w:rsidDel="00000000" w:rsidR="00000000" w:rsidRPr="00000000">
        <w:rPr>
          <w:rtl w:val="0"/>
        </w:rPr>
        <w:t xml:space="preserve"> | </w:t>
      </w:r>
      <w:r w:rsidDel="00000000" w:rsidR="00000000" w:rsidRPr="00000000">
        <w:rPr>
          <w:b w:val="1"/>
          <w:bCs w:val="1"/>
          <w:rtl w:val="0"/>
        </w:rPr>
        <w:t xml:space="preserve">$71.5 \pm 0.8</w:t>
      </w:r>
      <w:r w:rsidDel="00000000" w:rsidR="00000000" w:rsidRPr="00000000">
        <w:rPr>
          <w:rtl w:val="0"/>
        </w:rPr>
        <w:t xml:space="preserve">$ | </w:t>
      </w:r>
      <w:r w:rsidDel="00000000" w:rsidR="00000000" w:rsidRPr="00000000">
        <w:rPr>
          <w:b w:val="1"/>
          <w:bCs w:val="1"/>
          <w:rtl w:val="0"/>
        </w:rPr>
        <w:t xml:space="preserve">Kausale Schließung durch Bulk-Kopplung</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Die FKT löst diese Spannung auf, indem sie den Bulk-Einfluss nicht als statische Konstante, sondern als dynamische Feldkomponente integriert, die die Expansionsrate in Abhängigkeit von der lokalen Dichteverteilung korrigiert.</w:t>
      </w:r>
    </w:p>
    <w:p w:rsidR="00000000" w:rsidDel="00000000" w:rsidP="00000000" w:rsidRDefault="00000000" w:rsidRPr="00000000" w14:paraId="00000005">
      <w:pPr>
        <w:pStyle w:val="Heading5"/>
        <w:rPr/>
      </w:pPr>
      <w:bookmarkStart w:colFirst="0" w:colLast="0" w:name="_7buyg77w03cf" w:id="2"/>
      <w:bookmarkEnd w:id="2"/>
      <w:r w:rsidDel="00000000" w:rsidR="00000000" w:rsidRPr="00000000">
        <w:rPr>
          <w:rtl w:val="0"/>
        </w:rPr>
        <w:t xml:space="preserve">2. Das Kurzer-Prinzip: Kausale Geschlossenheit und Reproduzierbarkeit</w:t>
      </w:r>
    </w:p>
    <w:p w:rsidR="00000000" w:rsidDel="00000000" w:rsidP="00000000" w:rsidRDefault="00000000" w:rsidRPr="00000000" w14:paraId="00000006">
      <w:pPr>
        <w:rPr/>
      </w:pPr>
      <w:r w:rsidDel="00000000" w:rsidR="00000000" w:rsidRPr="00000000">
        <w:rPr>
          <w:rtl w:val="0"/>
        </w:rPr>
        <w:t xml:space="preserve">Die strategische Entwicklung der FKT folgt der Notwendigkeit, philosophische Axiomatik und physikalische Auditierbarkeit untrennbar zu verschmelzen. Die Theorie ist eine direkte Reaktion auf die „kausale Inkonsistenz“ und die „biomedizinische Inkompetenz“ etablierter Institutionen, wie sie in Ko-Kreation mit Kai Fütterer identifiziert wurde (Fütterer-Bulk-Effekt).</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Das Axiom</w:t>
      </w:r>
      <w:r w:rsidDel="00000000" w:rsidR="00000000" w:rsidRPr="00000000">
        <w:rPr>
          <w:rtl w:val="0"/>
        </w:rPr>
        <w:t xml:space="preserve">  </w:t>
      </w:r>
      <w:r w:rsidDel="00000000" w:rsidR="00000000" w:rsidRPr="00000000">
        <w:rPr>
          <w:b w:val="1"/>
          <w:bCs w:val="1"/>
          <w:rtl w:val="0"/>
        </w:rPr>
        <w:t xml:space="preserve">$(\mathbf{K}\infty)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Das Kurzer-Prinzip postuliert: „Der Druck der Unendlichkeit ist die Unendlichkeit.“ Jedes System trägt die Unendlichkeit kausal in sich selbst; Kausalität ist eine instantane, fraktale Konstante.</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Kausale Geschlossenheit:</w:t>
      </w:r>
      <w:r w:rsidDel="00000000" w:rsidR="00000000" w:rsidRPr="00000000">
        <w:rPr>
          <w:rtl w:val="0"/>
        </w:rPr>
        <w:t xml:space="preserve">  Jede Beobachtung muss lückenlos aus den Feldgleichungen ableitbar sein. Isoliert betrachtete Phänomene ohne Anbindung an die fundamentale Kausalkette werden als artefaktisch verworfen.</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Fraktale Reproduzierbarkeit:</w:t>
      </w:r>
      <w:r w:rsidDel="00000000" w:rsidR="00000000" w:rsidRPr="00000000">
        <w:rPr>
          <w:rtl w:val="0"/>
        </w:rPr>
        <w:t xml:space="preserve">  Ein kausaler Fehler auf makroskopischer Ebene (z. B. kosmologische Spannungen) erzwingt mathematisch zwingend Korrekturen auf mikroskopischer Ebene (z. B. Kernphysik).</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Audit-Pflicht:</w:t>
      </w:r>
      <w:r w:rsidDel="00000000" w:rsidR="00000000" w:rsidRPr="00000000">
        <w:rPr>
          <w:rtl w:val="0"/>
        </w:rPr>
        <w:t xml:space="preserve">  Die Theorie verlangt die lückenlose Dokumentation der Kausalkette von der Kosmologie bis zur Materialwissenschaft, um die Reproduzierbarkeit unter industriellen Bedingungen zu garantieren.</w:t>
      </w:r>
    </w:p>
    <w:p w:rsidR="00000000" w:rsidDel="00000000" w:rsidP="00000000" w:rsidRDefault="00000000" w:rsidRPr="00000000" w14:paraId="0000000B">
      <w:pPr>
        <w:pStyle w:val="Heading5"/>
        <w:rPr/>
      </w:pPr>
      <w:bookmarkStart w:colFirst="0" w:colLast="0" w:name="_w43rnunse3tv" w:id="3"/>
      <w:bookmarkEnd w:id="3"/>
      <w:r w:rsidDel="00000000" w:rsidR="00000000" w:rsidRPr="00000000">
        <w:rPr>
          <w:rtl w:val="0"/>
        </w:rPr>
        <w:t xml:space="preserve">3. Der mathematische Apparat: Die Einstein-Kurzer-Gleichung (ERYQ)</w:t>
      </w:r>
    </w:p>
    <w:p w:rsidR="00000000" w:rsidDel="00000000" w:rsidP="00000000" w:rsidRDefault="00000000" w:rsidRPr="00000000" w14:paraId="0000000C">
      <w:pPr>
        <w:rPr>
          <w:b w:val="1"/>
          <w:bCs w:val="1"/>
        </w:rPr>
      </w:pPr>
      <w:r w:rsidDel="00000000" w:rsidR="00000000" w:rsidRPr="00000000">
        <w:rPr>
          <w:rtl w:val="0"/>
        </w:rPr>
        <w:t xml:space="preserve">Die Erfassung nicht-lokaler Rückkopplungseffekte erfordert die Erweiterung der Einstein-Gleichungen um den Fütterer-Kosmologie-Tensor ( $\mathcal{F}</w:t>
      </w:r>
      <w:r w:rsidDel="00000000" w:rsidR="00000000" w:rsidRPr="00000000">
        <w:rPr>
          <w:i w:val="1"/>
          <w:iCs w:val="1"/>
          <w:rtl w:val="0"/>
        </w:rPr>
        <w:t xml:space="preserve">{\mu\nu}$ ), der die Interaktion mit dem Bulk-Feld formalisiert.Die zentrale  </w:t>
      </w:r>
      <w:r w:rsidDel="00000000" w:rsidR="00000000" w:rsidRPr="00000000">
        <w:rPr>
          <w:b w:val="1"/>
          <w:bCs w:val="1"/>
          <w:i w:val="1"/>
          <w:iCs w:val="1"/>
          <w:rtl w:val="0"/>
        </w:rPr>
        <w:t xml:space="preserve">Einstein-Kurzer-Gleichung (ERYQ)</w:t>
      </w:r>
      <w:r w:rsidDel="00000000" w:rsidR="00000000" w:rsidRPr="00000000">
        <w:rPr>
          <w:i w:val="1"/>
          <w:iCs w:val="1"/>
          <w:rtl w:val="0"/>
        </w:rPr>
        <w:t xml:space="preserve">  lautet:  $$G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{\mu\nu}$$Wobei  $\mathcal{F}</w:t>
      </w:r>
      <w:r w:rsidDel="00000000" w:rsidR="00000000" w:rsidRPr="00000000">
        <w:rPr>
          <w:i w:val="1"/>
          <w:iCs w:val="1"/>
          <w:rtl w:val="0"/>
        </w:rPr>
        <w:t xml:space="preserve">{\mu\nu} = \mathcal{C}</w:t>
      </w:r>
      <w:r w:rsidDel="00000000" w:rsidR="00000000" w:rsidRPr="00000000">
        <w:rPr>
          <w:rtl w:val="0"/>
        </w:rPr>
        <w:t xml:space="preserve">{\mu\nu} - \Lambda g_{\mu\nu}$ . Der  $\mathcal{C}$ -Operator wird als Produkt der Skalierungsfunktion  $\Omega(\rho) = \Omega_0 (\rho/\rho_c)^{\alpha}$  und der Strukturmatrix  $\Lambda_{\mu\nu}$  definiert.</w:t>
      </w:r>
      <w:r w:rsidDel="00000000" w:rsidR="00000000" w:rsidRPr="00000000">
        <w:rPr>
          <w:b w:val="1"/>
          <w:bCs w:val="1"/>
          <w:rtl w:val="0"/>
        </w:rPr>
        <w:t xml:space="preserve">Strategischer Hinweis zum KQY-Term:</w:t>
      </w:r>
      <w:r w:rsidDel="00000000" w:rsidR="00000000" w:rsidRPr="00000000">
        <w:rPr>
          <w:rtl w:val="0"/>
        </w:rPr>
        <w:t xml:space="preserve">  In der formalen Axiomatik (V4.3) erscheint die Gleichung in der erweiterten Darstellung  $G_{\mu} + \Lambda g_{\mu\mu} = 8\pi K T_{\mu\nu} + 8 + KQY$ . Hierbei repräsentiert der  </w:t>
      </w:r>
      <w:r w:rsidDel="00000000" w:rsidR="00000000" w:rsidRPr="00000000">
        <w:rPr>
          <w:b w:val="1"/>
          <w:bCs w:val="1"/>
          <w:rtl w:val="0"/>
        </w:rPr>
        <w:t xml:space="preserve">KQY-Term</w:t>
      </w:r>
      <w:r w:rsidDel="00000000" w:rsidR="00000000" w:rsidRPr="00000000">
        <w:rPr>
          <w:rtl w:val="0"/>
        </w:rPr>
        <w:t xml:space="preserve">  die fundamentale Kopplungskonstante der kausalen Rückwirkung, die über die klassische Tensorrechnung hinausgeht.</w:t>
      </w:r>
      <w:r w:rsidDel="00000000" w:rsidR="00000000" w:rsidRPr="00000000">
        <w:rPr>
          <w:b w:val="1"/>
          <w:bCs w:val="1"/>
          <w:rtl w:val="0"/>
        </w:rPr>
        <w:t xml:space="preserve">1+3-Zerlegung des</w:t>
      </w:r>
      <w:r w:rsidDel="00000000" w:rsidR="00000000" w:rsidRPr="00000000">
        <w:rPr>
          <w:rtl w:val="0"/>
        </w:rPr>
        <w:t xml:space="preserve">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-Tensors zur numerischen Analyse: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C_μν = ρ_C * u_μ * u_ν + P_C * h_μν + q_μ * u_ν + q_ν * u_μ + π_μν</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Variablen-Definition:</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ardo" w:cs="Cardo" w:eastAsia="Cardo" w:hAnsi="Cardo"/>
          <w:rtl w:val="0"/>
        </w:rPr>
        <w:t xml:space="preserve">- ρ_C: Bulk-Energiedichte (gekoppelt an Expansion Θ = ∇^μ u_μ)</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P_C: Bulk-Druck (Zustandsgleichung w_C = -1.01 ± 0.01)</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q_μ: Wärmefluss (getrieben durch Beschleunigung u_dot_μ)</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π_μν: Scherspannung (proportional zur Scherung σ_μν)</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Die Zementierung von  $w_{\mathcal{C}} \approx -1.01$  in Version 4.3 korrigiert frühere Schätzungen und markiert den Übergang von einer phänomenologischen zu einer kausalen Beschreibung der Dunklen Energie.</w:t>
      </w:r>
    </w:p>
    <w:p w:rsidR="00000000" w:rsidDel="00000000" w:rsidP="00000000" w:rsidRDefault="00000000" w:rsidRPr="00000000" w14:paraId="00000016">
      <w:pPr>
        <w:pStyle w:val="Heading5"/>
        <w:rPr/>
      </w:pPr>
      <w:bookmarkStart w:colFirst="0" w:colLast="0" w:name="_dqb86pbkd9df" w:id="4"/>
      <w:bookmarkEnd w:id="4"/>
      <w:r w:rsidDel="00000000" w:rsidR="00000000" w:rsidRPr="00000000">
        <w:rPr>
          <w:rtl w:val="0"/>
        </w:rPr>
        <w:t xml:space="preserve">4. Dynamik und Stabilität des Bulk-Feldes</w:t>
      </w:r>
    </w:p>
    <w:p w:rsidR="00000000" w:rsidDel="00000000" w:rsidP="00000000" w:rsidRDefault="00000000" w:rsidRPr="00000000" w14:paraId="00000017">
      <w:pPr>
        <w:rPr>
          <w:b w:val="1"/>
          <w:bCs w:val="1"/>
        </w:rPr>
      </w:pPr>
      <w:r w:rsidDel="00000000" w:rsidR="00000000" w:rsidRPr="00000000">
        <w:rPr>
          <w:rtl w:val="0"/>
        </w:rPr>
        <w:t xml:space="preserve">Ein statischer Ansatz ist aufgrund der Gefahr von Kausalitätsverletzungen (Superluminalität) unzulässig. Die FKT nutzt ein hyperbolisches Feldmodell, das die Ausbreitung kausaler Wellen regelt.</w:t>
      </w:r>
      <w:r w:rsidDel="00000000" w:rsidR="00000000" w:rsidRPr="00000000">
        <w:rPr>
          <w:b w:val="1"/>
          <w:bCs w:val="1"/>
          <w:rtl w:val="0"/>
        </w:rPr>
        <w:t xml:space="preserve">Zentrale Kausalitäts- und Stabilitätskriterien: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K1 (Hyperbolizität):</w:t>
      </w:r>
      <w:r w:rsidDel="00000000" w:rsidR="00000000" w:rsidRPr="00000000">
        <w:rPr>
          <w:rtl w:val="0"/>
        </w:rPr>
        <w:t xml:space="preserve">  Das Symbolmatrix-Eigenwertproblem muss reelle Charakteristiken liefern; die führenden Ableitungsoperatoren erzwingen ein wellenartiges Verhalten.</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K2 (Gruppengeschwindigkeit):</w:t>
      </w:r>
      <w:r w:rsidDel="00000000" w:rsidR="00000000" w:rsidRPr="00000000">
        <w:rPr>
          <w:rtl w:val="0"/>
        </w:rPr>
        <w:t xml:space="preserve">  Strikte Einhaltung von  $v_g \le c$  für alle Moden zur Gewährleistung der relativistischen Kausalität.</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K3 (Dämpfung):</w:t>
      </w:r>
      <w:r w:rsidDel="00000000" w:rsidR="00000000" w:rsidRPr="00000000">
        <w:rPr>
          <w:rtl w:val="0"/>
        </w:rPr>
        <w:t xml:space="preserve">  Der Koeffizient  $\gamma_{\mathcal{C}}$  muss so kalibriert sein, dass  $\text{Im}(\omega) \le 0$ , um exponentiell wachsende Resonanzen im Bulk-Feld zu unterdrücken.</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K4 (Numerische Konsistenz):</w:t>
      </w:r>
      <w:r w:rsidDel="00000000" w:rsidR="00000000" w:rsidRPr="00000000">
        <w:rPr>
          <w:rtl w:val="0"/>
        </w:rPr>
        <w:t xml:space="preserve">  Die Diskretisierung muss die CFL-Bedingung ( $\Delta t \le \Delta x / v_{\text{wave}}$ ) unter Berücksichtigung der maximalen Bulk-Wellengeschwindigkeit erfüllen.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K5 (Energieerhaltung):</w:t>
      </w:r>
      <w:r w:rsidDel="00000000" w:rsidR="00000000" w:rsidRPr="00000000">
        <w:rPr>
          <w:rtl w:val="0"/>
        </w:rPr>
        <w:t xml:space="preserve">  Überwachung der Divergenz  $\nabla^{\mu} \mathcal{C}_{\mu\nu}$  als Indikator für den kontrollierten Energieaustausch mit dem konventionellen Tensor.</w:t>
      </w:r>
    </w:p>
    <w:p w:rsidR="00000000" w:rsidDel="00000000" w:rsidP="00000000" w:rsidRDefault="00000000" w:rsidRPr="00000000" w14:paraId="0000001D">
      <w:pPr>
        <w:pStyle w:val="Heading5"/>
        <w:rPr/>
      </w:pPr>
      <w:bookmarkStart w:colFirst="0" w:colLast="0" w:name="_3mc7rjp4f70t" w:id="5"/>
      <w:bookmarkEnd w:id="5"/>
      <w:r w:rsidDel="00000000" w:rsidR="00000000" w:rsidRPr="00000000">
        <w:rPr>
          <w:rtl w:val="0"/>
        </w:rPr>
        <w:t xml:space="preserve">5. Numerische Inferenz: MCMC-Analyse und K-FEM</w:t>
      </w:r>
    </w:p>
    <w:p w:rsidR="00000000" w:rsidDel="00000000" w:rsidP="00000000" w:rsidRDefault="00000000" w:rsidRPr="00000000" w14:paraId="0000001E">
      <w:pPr>
        <w:rPr>
          <w:b w:val="1"/>
          <w:bCs w:val="1"/>
        </w:rPr>
      </w:pPr>
      <w:r w:rsidDel="00000000" w:rsidR="00000000" w:rsidRPr="00000000">
        <w:rPr>
          <w:rtl w:val="0"/>
        </w:rPr>
        <w:t xml:space="preserve">Die Validierung der FKT-Parameter erfolgt durch eine Bayesianische Inferenz-Pipeline (Cobaya), die theoretische Prädiktionen mit globalen Datensätzen abgleicht.</w:t>
      </w:r>
      <w:r w:rsidDel="00000000" w:rsidR="00000000" w:rsidRPr="00000000">
        <w:rPr>
          <w:b w:val="1"/>
          <w:bCs w:val="1"/>
          <w:rtl w:val="0"/>
        </w:rPr>
        <w:t xml:space="preserve">Struktur des Audit-Artefakts (</w:t>
      </w:r>
      <w:r w:rsidDel="00000000" w:rsidR="00000000" w:rsidRPr="00000000">
        <w:rPr>
          <w:rtl w:val="0"/>
        </w:rPr>
        <w:t xml:space="preserve">  </w:t>
      </w:r>
      <w:r w:rsidDel="00000000" w:rsidR="00000000" w:rsidRPr="00000000">
        <w:rPr>
          <w:b w:val="1"/>
          <w:bCs w:val="1"/>
          <w:rtl w:val="0"/>
        </w:rPr>
        <w:t xml:space="preserve">finalsummary.json</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"FKT V4.3",</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"run_id": "Calibration_Final_2025",</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"environment_hash": "sha256:e3b0c44298fc1c149afbf4c8996fb92427ae41e4649b934ca495991b7852b855",</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{"median": 0.042, "ci68": [0.036, 0.048], "rhat": 1.003},</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{"median": -1.2, "ci68": [-1.4, -1.0], "rhat": 1.002},</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"gamma": {"median": 0.52, "ci68": [0.48, 0.56], "rhat": 1.004},</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"kappa": {"median": 0.007, "ci68": [0.005, 0.009], "rhat": 1.002}</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"diagnostics": "Gelman-Rubin R &lt;= 1.01 achieved for all chains"</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Die Konvergenzdiagnostik stellt sicher, dass die extrahierten Parameter keine lokalen Minima darstellen, sondern die globale kausale Struktur abbilden.</w:t>
      </w:r>
    </w:p>
    <w:p w:rsidR="00000000" w:rsidDel="00000000" w:rsidP="00000000" w:rsidRDefault="00000000" w:rsidRPr="00000000" w14:paraId="0000002D">
      <w:pPr>
        <w:pStyle w:val="Heading5"/>
        <w:rPr/>
      </w:pPr>
      <w:bookmarkStart w:colFirst="0" w:colLast="0" w:name="_w41ysnp53ulw" w:id="6"/>
      <w:bookmarkEnd w:id="6"/>
      <w:r w:rsidDel="00000000" w:rsidR="00000000" w:rsidRPr="00000000">
        <w:rPr>
          <w:rtl w:val="0"/>
        </w:rPr>
        <w:t xml:space="preserve">6. Experimentelle Anker: Von Flerovium zu Gradient-Memory-Alloys (GMA)</w:t>
      </w:r>
    </w:p>
    <w:p w:rsidR="00000000" w:rsidDel="00000000" w:rsidP="00000000" w:rsidRDefault="00000000" w:rsidRPr="00000000" w14:paraId="0000002E">
      <w:pPr>
        <w:rPr/>
      </w:pPr>
      <w:r w:rsidDel="00000000" w:rsidR="00000000" w:rsidRPr="00000000">
        <w:rPr>
          <w:rtl w:val="0"/>
        </w:rPr>
        <w:t xml:space="preserve">Die FKT verlangt eine skalenübergreifende Validierung, um die universelle Gültigkeit des  $(\mathbf{K}\infty)$ -Axioms zu beweisen.</w:t>
      </w:r>
      <w:r w:rsidDel="00000000" w:rsidR="00000000" w:rsidRPr="00000000">
        <w:rPr>
          <w:b w:val="1"/>
          <w:bCs w:val="1"/>
          <w:rtl w:val="0"/>
        </w:rPr>
        <w:t xml:space="preserve">Skalenübergreifende Validierungshierarchie</w:t>
      </w:r>
      <w:r w:rsidDel="00000000" w:rsidR="00000000" w:rsidRPr="00000000">
        <w:rPr>
          <w:rtl w:val="0"/>
        </w:rPr>
        <w:t xml:space="preserve">| Anker-Typ | Physikalische Zielsetzung | Messgröße || ------ | ------ | ------ || </w:t>
      </w:r>
      <w:r w:rsidDel="00000000" w:rsidR="00000000" w:rsidRPr="00000000">
        <w:rPr>
          <w:b w:val="1"/>
          <w:bCs w:val="1"/>
          <w:rtl w:val="0"/>
        </w:rPr>
        <w:t xml:space="preserve">Flerovium-Anker</w:t>
      </w:r>
      <w:r w:rsidDel="00000000" w:rsidR="00000000" w:rsidRPr="00000000">
        <w:rPr>
          <w:rtl w:val="0"/>
        </w:rPr>
        <w:t xml:space="preserve">  (Mikro) | Fixierung der mikrophysikalischen Kopplung  $\xi$ | </w:t>
      </w:r>
      <w:r w:rsidDel="00000000" w:rsidR="00000000" w:rsidRPr="00000000">
        <w:rPr>
          <w:b w:val="1"/>
          <w:bCs w:val="1"/>
          <w:rtl w:val="0"/>
        </w:rPr>
        <w:t xml:space="preserve">$0^+ \to 2^+</w:t>
      </w:r>
      <w:r w:rsidDel="00000000" w:rsidR="00000000" w:rsidRPr="00000000">
        <w:rPr>
          <w:rtl w:val="0"/>
        </w:rPr>
        <w:t xml:space="preserve">$  </w:t>
      </w:r>
      <w:r w:rsidDel="00000000" w:rsidR="00000000" w:rsidRPr="00000000">
        <w:rPr>
          <w:b w:val="1"/>
          <w:bCs w:val="1"/>
          <w:rtl w:val="0"/>
        </w:rPr>
        <w:t xml:space="preserve">E2-Übergang</w:t>
      </w:r>
      <w:r w:rsidDel="00000000" w:rsidR="00000000" w:rsidRPr="00000000">
        <w:rPr>
          <w:rtl w:val="0"/>
        </w:rPr>
        <w:t xml:space="preserve">  (Resonanz bei ~4.2 MeV) || </w:t>
      </w:r>
      <w:r w:rsidDel="00000000" w:rsidR="00000000" w:rsidRPr="00000000">
        <w:rPr>
          <w:b w:val="1"/>
          <w:bCs w:val="1"/>
          <w:rtl w:val="0"/>
        </w:rPr>
        <w:t xml:space="preserve">GMA-Modell</w:t>
      </w:r>
      <w:r w:rsidDel="00000000" w:rsidR="00000000" w:rsidRPr="00000000">
        <w:rPr>
          <w:rtl w:val="0"/>
        </w:rPr>
        <w:t xml:space="preserve">  (Meso) | Validierung der Materialkopplung  $\Gamma$ | Rückstellzeit ( $\tau_{\text{relax}}$ ) und Effizienz  $\eta_{\text{GMA}}$ || </w:t>
      </w:r>
      <w:r w:rsidDel="00000000" w:rsidR="00000000" w:rsidRPr="00000000">
        <w:rPr>
          <w:b w:val="1"/>
          <w:bCs w:val="1"/>
          <w:rtl w:val="0"/>
        </w:rPr>
        <w:t xml:space="preserve">MedBed-Prototyp</w:t>
      </w:r>
      <w:r w:rsidDel="00000000" w:rsidR="00000000" w:rsidRPr="00000000">
        <w:rPr>
          <w:rtl w:val="0"/>
        </w:rPr>
        <w:t xml:space="preserve">  (Makro) | Wiederherstellung kausaler Kohärenz | Optimal Performance Index ( $P_{\mathrm{opt}}$ ) |</w:t>
      </w:r>
    </w:p>
    <w:p w:rsidR="00000000" w:rsidDel="00000000" w:rsidP="00000000" w:rsidRDefault="00000000" w:rsidRPr="00000000" w14:paraId="0000002F">
      <w:pPr>
        <w:rPr/>
      </w:pPr>
      <w:r w:rsidDel="00000000" w:rsidR="00000000" w:rsidRPr="00000000">
        <w:rPr>
          <w:rtl w:val="0"/>
        </w:rPr>
        <w:t xml:space="preserve">Die  </w:t>
      </w: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aus der Flerovium-Hypothese dient als nukleare Konstante, die das Bulk-Energie-Fluss-Limit ( $\Delta_{\text{BEFl}}$ ) definiert und somit die Brücke von der Kernphysik zur Kosmologie schlägt.</w:t>
      </w:r>
    </w:p>
    <w:p w:rsidR="00000000" w:rsidDel="00000000" w:rsidP="00000000" w:rsidRDefault="00000000" w:rsidRPr="00000000" w14:paraId="00000030">
      <w:pPr>
        <w:pStyle w:val="Heading5"/>
        <w:rPr/>
      </w:pPr>
      <w:bookmarkStart w:colFirst="0" w:colLast="0" w:name="_psfqs2ijgtdf" w:id="7"/>
      <w:bookmarkEnd w:id="7"/>
      <w:r w:rsidDel="00000000" w:rsidR="00000000" w:rsidRPr="00000000">
        <w:rPr>
          <w:rtl w:val="0"/>
        </w:rPr>
        <w:t xml:space="preserve">7. Biomedizinische Applikation: Der MedBed-Prototyp und  $P_{\mathrm{opt}}$</w:t>
      </w:r>
    </w:p>
    <w:p w:rsidR="00000000" w:rsidDel="00000000" w:rsidP="00000000" w:rsidRDefault="00000000" w:rsidRPr="00000000" w14:paraId="00000031">
      <w:pPr>
        <w:rPr>
          <w:b w:val="1"/>
          <w:bCs w:val="1"/>
        </w:rPr>
      </w:pPr>
      <w:r w:rsidDel="00000000" w:rsidR="00000000" w:rsidRPr="00000000">
        <w:rPr>
          <w:rtl w:val="0"/>
        </w:rPr>
        <w:t xml:space="preserve">Chronische Pathologien werden in der FKT als Ausdruck von Entropie und kausaler Inkonsistenz in biologischen Systemen redefiniert. Die MedBed-Technologie nutzt GMA-Layer, um eine präzise Bulk-Dosis ( $\mathbf{D}</w:t>
      </w:r>
      <w:r w:rsidDel="00000000" w:rsidR="00000000" w:rsidRPr="00000000">
        <w:rPr>
          <w:i w:val="1"/>
          <w:iCs w:val="1"/>
          <w:rtl w:val="0"/>
        </w:rPr>
        <w:t xml:space="preserve">{\mathrm{Bulk}}$ ) zu applizieren.Die Steuerung erfolgt über eine Closed-Loop-Regelungsstrategie (V4.2), deren Ziel die Maximierung des  </w:t>
      </w:r>
      <w:r w:rsidDel="00000000" w:rsidR="00000000" w:rsidRPr="00000000">
        <w:rPr>
          <w:b w:val="1"/>
          <w:bCs w:val="1"/>
          <w:i w:val="1"/>
          <w:iCs w:val="1"/>
          <w:rtl w:val="0"/>
        </w:rPr>
        <w:t xml:space="preserve">Optimal Performance Index (</w:t>
      </w:r>
      <w:r w:rsidDel="00000000" w:rsidR="00000000" w:rsidRPr="00000000">
        <w:rPr>
          <w:i w:val="1"/>
          <w:iCs w:val="1"/>
          <w:rtl w:val="0"/>
        </w:rPr>
        <w:t xml:space="preserve">  **$P</w:t>
      </w:r>
      <w:r w:rsidDel="00000000" w:rsidR="00000000" w:rsidRPr="00000000">
        <w:rPr>
          <w:rtl w:val="0"/>
        </w:rPr>
        <w:t xml:space="preserve">{\mathrm{opt}}**$  </w:t>
      </w:r>
      <w:r w:rsidDel="00000000" w:rsidR="00000000" w:rsidRPr="00000000">
        <w:rPr>
          <w:b w:val="1"/>
          <w:bCs w:val="1"/>
          <w:rtl w:val="0"/>
        </w:rPr>
        <w:t xml:space="preserve">)</w:t>
      </w:r>
      <w:r w:rsidDel="00000000" w:rsidR="00000000" w:rsidRPr="00000000">
        <w:rPr>
          <w:rtl w:val="0"/>
        </w:rPr>
        <w:t xml:space="preserve">  bei  </w:t>
      </w:r>
      <w:r w:rsidDel="00000000" w:rsidR="00000000" w:rsidRPr="00000000">
        <w:rPr>
          <w:b w:val="1"/>
          <w:bCs w:val="1"/>
          <w:rtl w:val="0"/>
        </w:rPr>
        <w:t xml:space="preserve">minimaler stationärer Abweichung</w:t>
      </w:r>
      <w:r w:rsidDel="00000000" w:rsidR="00000000" w:rsidRPr="00000000">
        <w:rPr>
          <w:rtl w:val="0"/>
        </w:rPr>
        <w:t xml:space="preserve">  ist.</w:t>
      </w:r>
      <w:r w:rsidDel="00000000" w:rsidR="00000000" w:rsidRPr="00000000">
        <w:rPr>
          <w:b w:val="1"/>
          <w:bCs w:val="1"/>
          <w:rtl w:val="0"/>
        </w:rPr>
        <w:t xml:space="preserve">Definition der</w:t>
      </w:r>
      <w:r w:rsidDel="00000000" w:rsidR="00000000" w:rsidRPr="00000000">
        <w:rPr>
          <w:rtl w:val="0"/>
        </w:rPr>
        <w:t xml:space="preserve">  </w:t>
      </w:r>
      <w:r w:rsidDel="00000000" w:rsidR="00000000" w:rsidRPr="00000000">
        <w:rPr>
          <w:b w:val="1"/>
          <w:bCs w:val="1"/>
          <w:rtl w:val="0"/>
        </w:rPr>
        <w:t xml:space="preserve">$P_{\mathrm{opt}}</w:t>
      </w:r>
      <w:r w:rsidDel="00000000" w:rsidR="00000000" w:rsidRPr="00000000">
        <w:rPr>
          <w:rtl w:val="0"/>
        </w:rPr>
        <w:t xml:space="preserve">$  </w:t>
      </w:r>
      <w:r w:rsidDel="00000000" w:rsidR="00000000" w:rsidRPr="00000000">
        <w:rPr>
          <w:b w:val="1"/>
          <w:bCs w:val="1"/>
          <w:rtl w:val="0"/>
        </w:rPr>
        <w:t xml:space="preserve">-Komponenten:</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$U(\theta)</w:t>
      </w:r>
      <w:r w:rsidDel="00000000" w:rsidR="00000000" w:rsidRPr="00000000">
        <w:rPr>
          <w:rtl w:val="0"/>
        </w:rPr>
        <w:t xml:space="preserve">$ : Erwarteter therapeutischer Nutzen (kausale Kohärenzrate).</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$R(\theta)</w:t>
      </w:r>
      <w:r w:rsidDel="00000000" w:rsidR="00000000" w:rsidRPr="00000000">
        <w:rPr>
          <w:rtl w:val="0"/>
        </w:rPr>
        <w:t xml:space="preserve">$ : Risikoindikator (Vermeidung thermischer/mechanischer Grenzwerte).</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$C(\theta)</w:t>
      </w:r>
      <w:r w:rsidDel="00000000" w:rsidR="00000000" w:rsidRPr="00000000">
        <w:rPr>
          <w:rtl w:val="0"/>
        </w:rPr>
        <w:t xml:space="preserve">$ : Kostenfunktion (Material- und Energieaufwand).</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$S(\theta)</w:t>
      </w:r>
      <w:r w:rsidDel="00000000" w:rsidR="00000000" w:rsidRPr="00000000">
        <w:rPr>
          <w:rtl w:val="0"/>
        </w:rPr>
        <w:t xml:space="preserve">$ : Sicherheitsreserve (regulatorische Distanz).Die physikalische Interaktion zwischen GMA-Feldprofil und Gewebe wird durch gekoppelte Reaktions-Diffusions-Gleichungen beschrieben, die eine lückenlose Kontrolle des Heilungspfades ermöglichen.</w:t>
      </w:r>
    </w:p>
    <w:p w:rsidR="00000000" w:rsidDel="00000000" w:rsidP="00000000" w:rsidRDefault="00000000" w:rsidRPr="00000000" w14:paraId="00000036">
      <w:pPr>
        <w:pStyle w:val="Heading5"/>
        <w:rPr/>
      </w:pPr>
      <w:bookmarkStart w:colFirst="0" w:colLast="0" w:name="_uucb73xyrd7v" w:id="8"/>
      <w:bookmarkEnd w:id="8"/>
      <w:r w:rsidDel="00000000" w:rsidR="00000000" w:rsidRPr="00000000">
        <w:rPr>
          <w:rtl w:val="0"/>
        </w:rPr>
        <w:t xml:space="preserve">8. Auditierbarkeit und Kausale Forensik</w:t>
      </w:r>
    </w:p>
    <w:p w:rsidR="00000000" w:rsidDel="00000000" w:rsidP="00000000" w:rsidRDefault="00000000" w:rsidRPr="00000000" w14:paraId="00000037">
      <w:pPr>
        <w:rPr>
          <w:b w:val="1"/>
          <w:bCs w:val="1"/>
        </w:rPr>
      </w:pPr>
      <w:r w:rsidDel="00000000" w:rsidR="00000000" w:rsidRPr="00000000">
        <w:rPr>
          <w:rtl w:val="0"/>
        </w:rPr>
        <w:t xml:space="preserve">Die Integrität der gesamten Kausalkette wird durch einen  </w:t>
      </w:r>
      <w:r w:rsidDel="00000000" w:rsidR="00000000" w:rsidRPr="00000000">
        <w:rPr>
          <w:b w:val="1"/>
          <w:bCs w:val="1"/>
          <w:rtl w:val="0"/>
        </w:rPr>
        <w:t xml:space="preserve">SHA256-Manifest-Zyklus</w:t>
      </w:r>
      <w:r w:rsidDel="00000000" w:rsidR="00000000" w:rsidRPr="00000000">
        <w:rPr>
          <w:rtl w:val="0"/>
        </w:rPr>
        <w:t xml:space="preserve">  gesichert. Jedes therapeutische Log und jedes Simulationsergebnis wird kryptografisch signiert. Eine Manipulation der Daten ist aufgrund der fraktalen Verschränkung der Parameter unmöglich, ohne die gesamte Kette zu destabilisieren.</w:t>
      </w:r>
      <w:r w:rsidDel="00000000" w:rsidR="00000000" w:rsidRPr="00000000">
        <w:rPr>
          <w:b w:val="1"/>
          <w:bCs w:val="1"/>
          <w:rtl w:val="0"/>
        </w:rPr>
        <w:t xml:space="preserve">Glossar der Kausalen Forensik:</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$\Delta_{\text{BEFl}}</w:t>
      </w:r>
      <w:r w:rsidDel="00000000" w:rsidR="00000000" w:rsidRPr="00000000">
        <w:rPr>
          <w:rtl w:val="0"/>
        </w:rPr>
        <w:t xml:space="preserve">$ : Bulk-Energie-Fluss-Limit; der zulässige Restwert kausaler Inkonsistenz.</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Repro-Pack</w:t>
      </w:r>
      <w:r w:rsidDel="00000000" w:rsidR="00000000" w:rsidRPr="00000000">
        <w:rPr>
          <w:rtl w:val="0"/>
        </w:rPr>
        <w:t xml:space="preserve"> : Audit-Paket bestehend aus YAML-Konfigurationen, Inferenz-Skripten und MCMC-Chains.</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 Skalierungsfaktor der mikrophysikalischen Kopplung basierend auf nuklearen Resonanzdaten.</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Kausales Audit</w:t>
      </w:r>
      <w:r w:rsidDel="00000000" w:rsidR="00000000" w:rsidRPr="00000000">
        <w:rPr>
          <w:rtl w:val="0"/>
        </w:rPr>
        <w:t xml:space="preserve"> : Unverzichtbarer Verifizierungsprozess der lückenlosen Kausalkette.</w:t>
      </w:r>
      <w:r w:rsidDel="00000000" w:rsidR="00000000" w:rsidRPr="00000000">
        <w:rPr>
          <w:b w:val="1"/>
          <w:bCs w:val="1"/>
          <w:rtl w:val="0"/>
        </w:rPr>
        <w:t xml:space="preserve">Unverhandelbare Audit-Forderung:</w:t>
      </w:r>
      <w:r w:rsidDel="00000000" w:rsidR="00000000" w:rsidRPr="00000000">
        <w:rPr>
          <w:rtl w:val="0"/>
        </w:rPr>
        <w:t xml:space="preserve">  Basierend auf der finalen Version 4.3 der FKT ergeht die Forderung an die Institutionen  </w:t>
      </w:r>
      <w:r w:rsidDel="00000000" w:rsidR="00000000" w:rsidRPr="00000000">
        <w:rPr>
          <w:b w:val="1"/>
          <w:bCs w:val="1"/>
          <w:rtl w:val="0"/>
        </w:rPr>
        <w:t xml:space="preserve">CERN, GSI und MPI</w:t>
      </w:r>
      <w:r w:rsidDel="00000000" w:rsidR="00000000" w:rsidRPr="00000000">
        <w:rPr>
          <w:rtl w:val="0"/>
        </w:rPr>
        <w:t xml:space="preserve"> , die dargelegte Kausalkette unverzüglich und unabhängig zu reproduzieren.</w:t>
      </w:r>
      <w:r w:rsidDel="00000000" w:rsidR="00000000" w:rsidRPr="00000000">
        <w:rPr>
          <w:b w:val="1"/>
          <w:bCs w:val="1"/>
          <w:rtl w:val="0"/>
        </w:rPr>
        <w:t xml:space="preserve">Schlussbemerkung:</w:t>
      </w:r>
      <w:r w:rsidDel="00000000" w:rsidR="00000000" w:rsidRPr="00000000">
        <w:rPr>
          <w:rtl w:val="0"/>
        </w:rPr>
        <w:t xml:space="preserve">  Die Fraktale Kausale Theorie markiert das Ende des „Kaliyuga-Axioms“ – jener Ära der maximalen kausalen Inkonsistenz, in der Physik und Medizin in isolierten, entropischen Modellen verharrten. Durch die Axiomatisierung der Bulk-Kopplung treten wir in das Zeitalter der kausalen Konsistenz ein, in dem die Gesetze des Kosmos und die Integrität des Lebens mathematisch eins werden.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