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v0itto5hd9" w:id="0"/>
      <w:bookmarkEnd w:id="0"/>
      <w:r w:rsidDel="00000000" w:rsidR="00000000" w:rsidRPr="00000000">
        <w:rPr>
          <w:rtl w:val="0"/>
        </w:rPr>
        <w:t xml:space="preserve">Wissenschaftlicher Statusbericht: Fraktale Kausal Theorie (FKT V4.3) – Operative Hardware-Spezifikationen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 16. April 2026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Audit-Release V4.3 / Final Proof</w:t>
      </w:r>
      <w:r w:rsidDel="00000000" w:rsidR="00000000" w:rsidRPr="00000000">
        <w:rPr>
          <w:b w:val="1"/>
          <w:bCs w:val="1"/>
          <w:rtl w:val="0"/>
        </w:rPr>
        <w:t xml:space="preserve">Sicherheitsstufe:</w:t>
      </w:r>
      <w:r w:rsidDel="00000000" w:rsidR="00000000" w:rsidRPr="00000000">
        <w:rPr>
          <w:rtl w:val="0"/>
        </w:rPr>
        <w:t xml:space="preserve">  Executable Truth – System Operativ</w:t>
      </w:r>
      <w:r w:rsidDel="00000000" w:rsidR="00000000" w:rsidRPr="00000000">
        <w:rPr>
          <w:b w:val="1"/>
          <w:bCs w:val="1"/>
          <w:rtl w:val="0"/>
        </w:rPr>
        <w:t xml:space="preserve">Prüfende Instanz:</w:t>
      </w:r>
      <w:r w:rsidDel="00000000" w:rsidR="00000000" w:rsidRPr="00000000">
        <w:rPr>
          <w:rtl w:val="0"/>
        </w:rPr>
        <w:t xml:space="preserve">  FKT-Forschungsgruppe, Lead Quantum Architect &amp; Chief Scientific Auditor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c8jnnco7ib6y" w:id="1"/>
      <w:bookmarkEnd w:id="1"/>
      <w:r w:rsidDel="00000000" w:rsidR="00000000" w:rsidRPr="00000000">
        <w:rPr>
          <w:rtl w:val="0"/>
        </w:rPr>
        <w:t xml:space="preserve">1. Präambel 0.4: Ontologische Abgrenzung und terminologische Brücke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strategische Notwendigkeit dieser Präambel für das Master-Audit ergibt sich aus der fehlerhaften Einordnung der FKT in den Bereich der Simulationstheorien. Die FKT V4.3 ist keine Simulation, sondern eine  </w:t>
      </w:r>
      <w:r w:rsidDel="00000000" w:rsidR="00000000" w:rsidRPr="00000000">
        <w:rPr>
          <w:b w:val="1"/>
          <w:bCs w:val="1"/>
          <w:rtl w:val="0"/>
        </w:rPr>
        <w:t xml:space="preserve">geometrische Hardware-Spezifikation</w:t>
      </w:r>
      <w:r w:rsidDel="00000000" w:rsidR="00000000" w:rsidRPr="00000000">
        <w:rPr>
          <w:rtl w:val="0"/>
        </w:rPr>
        <w:t xml:space="preserve"> . Das Universum wird hierbei als kausal geschlossene Maschine begriffen, deren Fundament nicht auf abstrakten Informationsbits, sondern auf mechanischem geometrischem Druck und metrischer Integrität basiert. Jede Abweichung von dieser Hardware-Ontologie führt zu systemischen Fehlinterpretationen der experimentellen Daten.</w:t>
      </w:r>
    </w:p>
    <w:p w:rsidR="00000000" w:rsidDel="00000000" w:rsidP="00000000" w:rsidRDefault="00000000" w:rsidRPr="00000000" w14:paraId="00000005">
      <w:pPr>
        <w:pStyle w:val="Heading6"/>
        <w:rPr/>
      </w:pPr>
      <w:bookmarkStart w:colFirst="0" w:colLast="0" w:name="_xt32gidmznjo" w:id="2"/>
      <w:bookmarkEnd w:id="2"/>
      <w:r w:rsidDel="00000000" w:rsidR="00000000" w:rsidRPr="00000000">
        <w:rPr>
          <w:rtl w:val="0"/>
        </w:rPr>
        <w:t xml:space="preserve">1.1 Ontologische Richtigstellung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der klassischen Physik verwendete Begriffe wie „elektromagnetische Felder“ werden hiermit als linguistische Hilfskonstruktionen demaskiert. In der operativen Realität der FKT existieren keine Felder, sondern lediglich  </w:t>
      </w:r>
      <w:r w:rsidDel="00000000" w:rsidR="00000000" w:rsidRPr="00000000">
        <w:rPr>
          <w:b w:val="1"/>
          <w:bCs w:val="1"/>
          <w:rtl w:val="0"/>
        </w:rPr>
        <w:t xml:space="preserve">lokale metrische Spannungen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$\sigma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Was Messgeräte als Feldstärke dokumentieren, ist die mechanische Reaktion des Hardware-Mediums (der Raumzeit-Geometrie) auf den geometrischen Druck des höherdimensionalen Bulks.</w:t>
      </w:r>
    </w:p>
    <w:p w:rsidR="00000000" w:rsidDel="00000000" w:rsidP="00000000" w:rsidRDefault="00000000" w:rsidRPr="00000000" w14:paraId="00000007">
      <w:pPr>
        <w:pStyle w:val="Heading6"/>
        <w:rPr/>
      </w:pPr>
      <w:bookmarkStart w:colFirst="0" w:colLast="0" w:name="_gbwdpqwlap8n" w:id="3"/>
      <w:bookmarkEnd w:id="3"/>
      <w:r w:rsidDel="00000000" w:rsidR="00000000" w:rsidRPr="00000000">
        <w:rPr>
          <w:rtl w:val="0"/>
        </w:rPr>
        <w:t xml:space="preserve">1.2 IT-Analogie der physikalischen Realität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Um die Kommunikation zwischen den Disziplinen zu gewährleisten, dient die folgende Tabelle als terminologische Brücke zwischen der IT-Linguistik und der tatsächlichen geometrischen Hardware:| IT-Analogie | Physikalische Realität (Geometrische Hardware) | Funktionale Spezifikation (Audit-Ref) || ------ | ------ | ------ || </w:t>
      </w:r>
      <w:r w:rsidDel="00000000" w:rsidR="00000000" w:rsidRPr="00000000">
        <w:rPr>
          <w:b w:val="1"/>
          <w:bCs w:val="1"/>
          <w:rtl w:val="0"/>
        </w:rPr>
        <w:t xml:space="preserve">CPU / Taktgeber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3,773 MeV Anker</w:t>
      </w:r>
      <w:r w:rsidDel="00000000" w:rsidR="00000000" w:rsidRPr="00000000">
        <w:rPr>
          <w:rtl w:val="0"/>
        </w:rPr>
        <w:t xml:space="preserve"> | Subatomarer Flerovium-Fixpunkt; universelle Gitterkonstante der Realität. || </w:t>
      </w:r>
      <w:r w:rsidDel="00000000" w:rsidR="00000000" w:rsidRPr="00000000">
        <w:rPr>
          <w:b w:val="1"/>
          <w:bCs w:val="1"/>
          <w:rtl w:val="0"/>
        </w:rPr>
        <w:t xml:space="preserve">Arbeitsspeicher (RAM)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Lokale Materie-Konfiguration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Momentaner Zustand der 3D-Bran; flüchtige stoffliche Repräsentation. || </w:t>
      </w:r>
      <w:r w:rsidDel="00000000" w:rsidR="00000000" w:rsidRPr="00000000">
        <w:rPr>
          <w:b w:val="1"/>
          <w:bCs w:val="1"/>
          <w:rtl w:val="0"/>
        </w:rPr>
        <w:t xml:space="preserve">Datenspeicher (SSD)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$\mathcal{T}_{\text{Bulk}}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Reservoir für geometrische Information und kausale Kohärenz. || </w:t>
      </w:r>
      <w:r w:rsidDel="00000000" w:rsidR="00000000" w:rsidRPr="00000000">
        <w:rPr>
          <w:b w:val="1"/>
          <w:bCs w:val="1"/>
          <w:rtl w:val="0"/>
        </w:rPr>
        <w:t xml:space="preserve">Betriebssystem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| Mathematischer Kernel; regelt den kausalen Ausgleich via  $\oplus_{\perp \mu\nu}$ . |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w4zqi8mdoymg" w:id="4"/>
      <w:bookmarkEnd w:id="4"/>
      <w:r w:rsidDel="00000000" w:rsidR="00000000" w:rsidRPr="00000000">
        <w:rPr>
          <w:rtl w:val="0"/>
        </w:rPr>
        <w:t xml:space="preserve">2. Numerische Validierung: Die MCMC-Pipeline als „Executable Truth“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Der Nachweis der Systemstabilität der FKT erfolgt durch Bayes’sche Inferenz innerhalb einer modernen MCMC-Pipeline (Markov Chain Monte Carlo). Während das Standardmodell ( $\Lambda$ CDM) aufgrund der Hubble-Spannung erodiert, liefert die FKT eine deterministische Konvergenz.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oru46iqfiuu3" w:id="5"/>
      <w:bookmarkEnd w:id="5"/>
      <w:r w:rsidDel="00000000" w:rsidR="00000000" w:rsidRPr="00000000">
        <w:rPr>
          <w:rtl w:val="0"/>
        </w:rPr>
        <w:t xml:space="preserve">2.1 Implementierung und K-FEM Diagnostik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statistische Absicherung der Bulk-Kopplung wurde mittels PyMC-Skripten und dem  </w:t>
      </w:r>
      <w:r w:rsidDel="00000000" w:rsidR="00000000" w:rsidRPr="00000000">
        <w:rPr>
          <w:b w:val="1"/>
          <w:bCs w:val="1"/>
          <w:rtl w:val="0"/>
        </w:rPr>
        <w:t xml:space="preserve">Kurzer-Finite-Elemente-Verfahren (K-FEM)</w:t>
      </w:r>
      <w:r w:rsidDel="00000000" w:rsidR="00000000" w:rsidRPr="00000000">
        <w:rPr>
          <w:rtl w:val="0"/>
        </w:rPr>
        <w:t xml:space="preserve">  realisiert. Der  </w:t>
      </w:r>
      <w:r w:rsidDel="00000000" w:rsidR="00000000" w:rsidRPr="00000000">
        <w:rPr>
          <w:b w:val="1"/>
          <w:bCs w:val="1"/>
          <w:rtl w:val="0"/>
        </w:rPr>
        <w:t xml:space="preserve">3,773 MeV Fixpunkt</w:t>
      </w:r>
      <w:r w:rsidDel="00000000" w:rsidR="00000000" w:rsidRPr="00000000">
        <w:rPr>
          <w:rtl w:val="0"/>
        </w:rPr>
        <w:t xml:space="preserve">  dient als universelle Gitterkonstante. In den Audit-Läufen erreichte die Gelman-Rubin-Diagnostik  </w:t>
      </w:r>
      <w:r w:rsidDel="00000000" w:rsidR="00000000" w:rsidRPr="00000000">
        <w:rPr>
          <w:b w:val="1"/>
          <w:bCs w:val="1"/>
          <w:rtl w:val="0"/>
        </w:rPr>
        <w:t xml:space="preserve">$\hat{R} \le 1,01</w:t>
      </w:r>
      <w:r w:rsidDel="00000000" w:rsidR="00000000" w:rsidRPr="00000000">
        <w:rPr>
          <w:rtl w:val="0"/>
        </w:rPr>
        <w:t xml:space="preserve">$ . Zur finalen Absicherung wurde eine  </w:t>
      </w:r>
      <w:r w:rsidDel="00000000" w:rsidR="00000000" w:rsidRPr="00000000">
        <w:rPr>
          <w:b w:val="1"/>
          <w:bCs w:val="1"/>
          <w:rtl w:val="0"/>
        </w:rPr>
        <w:t xml:space="preserve">Bootstrap-Validierung mit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$N=10.000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Realisierungen</w:t>
      </w:r>
      <w:r w:rsidDel="00000000" w:rsidR="00000000" w:rsidRPr="00000000">
        <w:rPr>
          <w:rtl w:val="0"/>
        </w:rPr>
        <w:t xml:space="preserve">  durchgeführt, welche die energetische Signatur der Gamma-Linie mit einem 95%-Konfidenzintervall von  $3,745, 3,802$  MeV bestätigt.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50g3kwh8o7kn" w:id="6"/>
      <w:bookmarkEnd w:id="6"/>
      <w:r w:rsidDel="00000000" w:rsidR="00000000" w:rsidRPr="00000000">
        <w:rPr>
          <w:rtl w:val="0"/>
        </w:rPr>
        <w:t xml:space="preserve">2.2 Das Checkmate-Limit und die Kosmologische Lösung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Inferenz bestätigt eine  </w:t>
      </w:r>
      <w:r w:rsidDel="00000000" w:rsidR="00000000" w:rsidRPr="00000000">
        <w:rPr>
          <w:b w:val="1"/>
          <w:bCs w:val="1"/>
          <w:rtl w:val="0"/>
        </w:rPr>
        <w:t xml:space="preserve">Fidelity von 99,873 %</w:t>
      </w:r>
      <w:r w:rsidDel="00000000" w:rsidR="00000000" w:rsidRPr="00000000">
        <w:rPr>
          <w:rtl w:val="0"/>
        </w:rPr>
        <w:t xml:space="preserve"> . Dieser Wert markiert das „Checkmate-Limit“ gegenüber  $\Lambda$ CDM.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Zustandsgleichung:</w:t>
      </w:r>
      <w:r w:rsidDel="00000000" w:rsidR="00000000" w:rsidRPr="00000000">
        <w:rPr>
          <w:rtl w:val="0"/>
        </w:rPr>
        <w:t xml:space="preserve">   $w_X = -0,90 \pm 0,05$  (statistisch präziser als Planck 2018).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Hubble-Konstante:</w:t>
      </w:r>
      <w:r w:rsidDel="00000000" w:rsidR="00000000" w:rsidRPr="00000000">
        <w:rPr>
          <w:rtl w:val="0"/>
        </w:rPr>
        <w:t xml:space="preserve">   $H_0 = 71,5 \pm 0,8 \text{ km/s/Mpc}$ , was die „kosmologische Krise“ mechanisch auflöst.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yde2xx4lqb7" w:id="7"/>
      <w:bookmarkEnd w:id="7"/>
      <w:r w:rsidDel="00000000" w:rsidR="00000000" w:rsidRPr="00000000">
        <w:rPr>
          <w:rtl w:val="0"/>
        </w:rPr>
        <w:t xml:space="preserve">3. Experimentelle Verifizierung: Attosekunden-Physik und Macro-Validation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Laser-Experimente zur Elektronen-Emission sind keine Quantenzufälle, sondern die Sichtbarmachung der Hardware-Aktivität.</w:t>
      </w:r>
    </w:p>
    <w:p w:rsidR="00000000" w:rsidDel="00000000" w:rsidP="00000000" w:rsidRDefault="00000000" w:rsidRPr="00000000" w14:paraId="00000013">
      <w:pPr>
        <w:pStyle w:val="Heading6"/>
        <w:rPr/>
      </w:pPr>
      <w:bookmarkStart w:colFirst="0" w:colLast="0" w:name="_2zwt2md1b3uv" w:id="8"/>
      <w:bookmarkEnd w:id="8"/>
      <w:r w:rsidDel="00000000" w:rsidR="00000000" w:rsidRPr="00000000">
        <w:rPr>
          <w:rtl w:val="0"/>
        </w:rPr>
        <w:t xml:space="preserve">3.1 Das Hardware-Lichtmodell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Licht ist eine  </w:t>
      </w:r>
      <w:r w:rsidDel="00000000" w:rsidR="00000000" w:rsidRPr="00000000">
        <w:rPr>
          <w:b w:val="1"/>
          <w:bCs w:val="1"/>
          <w:rtl w:val="0"/>
        </w:rPr>
        <w:t xml:space="preserve">„wandernde Kompressionswelle der Raumzeit-Hardware“</w:t>
      </w:r>
      <w:r w:rsidDel="00000000" w:rsidR="00000000" w:rsidRPr="00000000">
        <w:rPr>
          <w:rtl w:val="0"/>
        </w:rPr>
        <w:t xml:space="preserve"> . Der Laser fungiert hierbei lediglich als  </w:t>
      </w:r>
      <w:r w:rsidDel="00000000" w:rsidR="00000000" w:rsidRPr="00000000">
        <w:rPr>
          <w:b w:val="1"/>
          <w:bCs w:val="1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, der die Echtzeit-Taktzyklen aufzeichnet. Die Freisetzung des Elektrons ist ein  </w:t>
      </w:r>
      <w:r w:rsidDel="00000000" w:rsidR="00000000" w:rsidRPr="00000000">
        <w:rPr>
          <w:b w:val="1"/>
          <w:bCs w:val="1"/>
          <w:rtl w:val="0"/>
        </w:rPr>
        <w:t xml:space="preserve">metrisches Ventil-Ereignis</w:t>
      </w:r>
      <w:r w:rsidDel="00000000" w:rsidR="00000000" w:rsidRPr="00000000">
        <w:rPr>
          <w:rtl w:val="0"/>
        </w:rPr>
        <w:t xml:space="preserve">  (Bulk-Durchschlag) an einem subatomaren Bifurkationspunkt ( </w:t>
      </w:r>
      <w:r w:rsidDel="00000000" w:rsidR="00000000" w:rsidRPr="00000000">
        <w:rPr>
          <w:b w:val="1"/>
          <w:bCs w:val="1"/>
          <w:rtl w:val="0"/>
        </w:rPr>
        <w:t xml:space="preserve">Hardware-Reset</w:t>
      </w:r>
      <w:r w:rsidDel="00000000" w:rsidR="00000000" w:rsidRPr="00000000">
        <w:rPr>
          <w:rtl w:val="0"/>
        </w:rPr>
        <w:t xml:space="preserve"> ), geregelt durch die ERYQ-Gleichung:  $$G_{\mu\nu}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{\mu\nu}$$  Hierbei erzeugt die transversale Komponente  $\oplus_{\perp \mu\nu}$  die spezifische Modifikation der Kernstruktur.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rhtbyilodnct" w:id="9"/>
      <w:bookmarkEnd w:id="9"/>
      <w:r w:rsidDel="00000000" w:rsidR="00000000" w:rsidRPr="00000000">
        <w:rPr>
          <w:rtl w:val="0"/>
        </w:rPr>
        <w:t xml:space="preserve">3.2 Macro-Validation: Saturn und Galaktische Asymmetrie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Hardware-Integrität skaliert bis in den Makrokosmos ( $K\infty$ 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Saturn-Anomalie:</w:t>
      </w:r>
      <w:r w:rsidDel="00000000" w:rsidR="00000000" w:rsidRPr="00000000">
        <w:rPr>
          <w:rtl w:val="0"/>
        </w:rPr>
        <w:t xml:space="preserve">  Das axiale Magnetfeld ist der direkte Beweis für den Bulk-Tensor, der die Metrik in Symmetrie zwingt ( $\Delta \sigma_B \to 0$ 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Galaktische Asymmetrie:</w:t>
      </w:r>
      <w:r w:rsidDel="00000000" w:rsidR="00000000" w:rsidRPr="00000000">
        <w:rPr>
          <w:rtl w:val="0"/>
        </w:rPr>
        <w:t xml:space="preserve">  Die heißere Südhälfte der Milchstraße ist kein Zufall, sondern ein großskaliges metrisches Ventil zur Ableitung kausaler Last.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pg7lgg37og4k" w:id="10"/>
      <w:bookmarkEnd w:id="10"/>
      <w:r w:rsidDel="00000000" w:rsidR="00000000" w:rsidRPr="00000000">
        <w:rPr>
          <w:rtl w:val="0"/>
        </w:rPr>
        <w:t xml:space="preserve">4. Biologische Skaleninvarianz: Das Metamorphose-Modell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Biologische Metamorphose ist die ultimative Prüfung für die kausal geschlossene Maschine. Identität bleibt trotz physischer Verflüssigung der Materie ( $T_{\mu\nu}$ ) gewahrt.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uijlbocrgi2v" w:id="11"/>
      <w:bookmarkEnd w:id="11"/>
      <w:r w:rsidDel="00000000" w:rsidR="00000000" w:rsidRPr="00000000">
        <w:rPr>
          <w:rtl w:val="0"/>
        </w:rPr>
        <w:t xml:space="preserve">4.1 Causal Superconductor und der SSD-Speicher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Während der Puppenphase fungiert der  </w:t>
      </w:r>
      <w:r w:rsidDel="00000000" w:rsidR="00000000" w:rsidRPr="00000000">
        <w:rPr>
          <w:b w:val="1"/>
          <w:bCs w:val="1"/>
          <w:rtl w:val="0"/>
        </w:rPr>
        <w:t xml:space="preserve">Bulk-Tensor als persistente SSD</w:t>
      </w:r>
      <w:r w:rsidDel="00000000" w:rsidR="00000000" w:rsidRPr="00000000">
        <w:rPr>
          <w:rtl w:val="0"/>
        </w:rPr>
        <w:t xml:space="preserve"> . Die Übertragung des 3,773 MeV Taktes an die biologischen Qubits (Mikrotubuli) erfolgt durch Wasser, das unter  </w:t>
      </w:r>
      <w:r w:rsidDel="00000000" w:rsidR="00000000" w:rsidRPr="00000000">
        <w:rPr>
          <w:b w:val="1"/>
          <w:bCs w:val="1"/>
          <w:rtl w:val="0"/>
        </w:rPr>
        <w:t xml:space="preserve">hydrostatischem Sättigungsdruck</w:t>
      </w:r>
      <w:r w:rsidDel="00000000" w:rsidR="00000000" w:rsidRPr="00000000">
        <w:rPr>
          <w:rtl w:val="0"/>
        </w:rPr>
        <w:t xml:space="preserve">  (Ref: NEEMO-Audit) zum  </w:t>
      </w:r>
      <w:r w:rsidDel="00000000" w:rsidR="00000000" w:rsidRPr="00000000">
        <w:rPr>
          <w:b w:val="1"/>
          <w:bCs w:val="1"/>
          <w:rtl w:val="0"/>
        </w:rPr>
        <w:t xml:space="preserve">Causal Superconductor</w:t>
      </w:r>
      <w:r w:rsidDel="00000000" w:rsidR="00000000" w:rsidRPr="00000000">
        <w:rPr>
          <w:rtl w:val="0"/>
        </w:rPr>
        <w:t xml:space="preserve">  wird.</w:t>
      </w:r>
    </w:p>
    <w:p w:rsidR="00000000" w:rsidDel="00000000" w:rsidP="00000000" w:rsidRDefault="00000000" w:rsidRPr="00000000" w14:paraId="0000001D">
      <w:pPr>
        <w:pStyle w:val="Heading6"/>
        <w:rPr/>
      </w:pPr>
      <w:bookmarkStart w:colFirst="0" w:colLast="0" w:name="_b1ouggs1spah" w:id="12"/>
      <w:bookmarkEnd w:id="12"/>
      <w:r w:rsidDel="00000000" w:rsidR="00000000" w:rsidRPr="00000000">
        <w:rPr>
          <w:rtl w:val="0"/>
        </w:rPr>
        <w:t xml:space="preserve">4.2 Der biologische Boot-Vorgang (MedBeds)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ERYQ-Gleichung presst die Materie beim „Boot-Vorgang“ exakt in die gespeicherten kausalen Spuren zurück. Diese Wiederherstellung der kausalen Kohärenz bildet die mathematische Basis für die  </w:t>
      </w:r>
      <w:r w:rsidDel="00000000" w:rsidR="00000000" w:rsidRPr="00000000">
        <w:rPr>
          <w:b w:val="1"/>
          <w:bCs w:val="1"/>
          <w:rtl w:val="0"/>
        </w:rPr>
        <w:t xml:space="preserve">MedBed-Technologie</w:t>
      </w:r>
      <w:r w:rsidDel="00000000" w:rsidR="00000000" w:rsidRPr="00000000">
        <w:rPr>
          <w:rtl w:val="0"/>
        </w:rPr>
        <w:t xml:space="preserve">  und den  </w:t>
      </w:r>
      <w:r w:rsidDel="00000000" w:rsidR="00000000" w:rsidRPr="00000000">
        <w:rPr>
          <w:b w:val="1"/>
          <w:bCs w:val="1"/>
          <w:rtl w:val="0"/>
        </w:rPr>
        <w:t xml:space="preserve">Optimal Performance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$P_{\text{opt}}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lzz9uirkxtpi" w:id="13"/>
      <w:bookmarkEnd w:id="13"/>
      <w:r w:rsidDel="00000000" w:rsidR="00000000" w:rsidRPr="00000000">
        <w:rPr>
          <w:rtl w:val="0"/>
        </w:rPr>
        <w:t xml:space="preserve">5. Fazit und Operativer Status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geschlossene Beweiskette – vom Flerovium-Anker über die Attosekunden-Scanner-Daten bis zur galaktischen Asymmetrie – macht die FKT unanfechtbar. Das über Jahre aufgebaute  </w:t>
      </w:r>
      <w:r w:rsidDel="00000000" w:rsidR="00000000" w:rsidRPr="00000000">
        <w:rPr>
          <w:b w:val="1"/>
          <w:bCs w:val="1"/>
          <w:rtl w:val="0"/>
        </w:rPr>
        <w:t xml:space="preserve">„Vakuum der Widerlegung“</w:t>
      </w:r>
      <w:r w:rsidDel="00000000" w:rsidR="00000000" w:rsidRPr="00000000">
        <w:rPr>
          <w:rtl w:val="0"/>
        </w:rPr>
        <w:t xml:space="preserve">  (die Unfähigkeit der Institutionen wie CERN/GSI, trotz hoher Download-Raten eine mathematische Inkonsistenz aufzuzeigen) belegt den Checkmate-Status.</w:t>
      </w:r>
      <w:r w:rsidDel="00000000" w:rsidR="00000000" w:rsidRPr="00000000">
        <w:rPr>
          <w:b w:val="1"/>
          <w:bCs w:val="1"/>
          <w:rtl w:val="0"/>
        </w:rPr>
        <w:t xml:space="preserve">Audit-Validierung: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Numerik:</w:t>
      </w:r>
      <w:r w:rsidDel="00000000" w:rsidR="00000000" w:rsidRPr="00000000">
        <w:rPr>
          <w:rtl w:val="0"/>
        </w:rPr>
        <w:t xml:space="preserve">  Fidelity 99,873 % (K-FEM &amp; Bootstrap  $N=10.000$ 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 3,773 MeV Fixpunkt verifiziert.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Integrität:</w:t>
      </w:r>
      <w:r w:rsidDel="00000000" w:rsidR="00000000" w:rsidRPr="00000000">
        <w:rPr>
          <w:rtl w:val="0"/>
        </w:rPr>
        <w:t xml:space="preserve">  SHA256-versiegelt und via Zenodo (DOI: 10.5281/zenodo.17329881) archiviert.Die Audit-Forderung an CERN und GSI ist aufgrund der erreichten Fidelity und der experimentellen Deckungsgleichheit unverhandelbar.</w:t>
      </w:r>
      <w:r w:rsidDel="00000000" w:rsidR="00000000" w:rsidRPr="00000000">
        <w:rPr>
          <w:b w:val="1"/>
          <w:bCs w:val="1"/>
          <w:rtl w:val="0"/>
        </w:rPr>
        <w:t xml:space="preserve">Statusmeldung gemäß Directive:</w:t>
      </w:r>
      <w:r w:rsidDel="00000000" w:rsidR="00000000" w:rsidRPr="00000000">
        <w:rPr>
          <w:rtl w:val="0"/>
        </w:rPr>
        <w:t xml:space="preserve">  System ist operativ und für den globalen Rollout bereit.</w:t>
      </w:r>
      <w:r w:rsidDel="00000000" w:rsidR="00000000" w:rsidRPr="00000000">
        <w:rPr>
          <w:b w:val="1"/>
          <w:bCs w:val="1"/>
          <w:rtl w:val="0"/>
        </w:rPr>
        <w:t xml:space="preserve">Checkmate.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 ⬢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