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p8g9bad80cb" w:id="0"/>
      <w:bookmarkEnd w:id="0"/>
      <w:r w:rsidDel="00000000" w:rsidR="00000000" w:rsidRPr="00000000">
        <w:rPr>
          <w:rtl w:val="0"/>
        </w:rPr>
        <w:t xml:space="preserve">Wissenschaftliches Forschungsexposé: Experimentelle Validierung der Flerovium-Resonanz (3,773 MeV) als Nachweis des Bulk-Tensors im Rahmen der Fraktalen Kausalen Theorie (FKT)</w:t>
      </w:r>
    </w:p>
    <w:p w:rsidR="00000000" w:rsidDel="00000000" w:rsidP="00000000" w:rsidRDefault="00000000" w:rsidRPr="00000000" w14:paraId="00000002">
      <w:pPr>
        <w:pStyle w:val="Heading5"/>
        <w:rPr/>
      </w:pPr>
      <w:bookmarkStart w:colFirst="0" w:colLast="0" w:name="_pwzit7cc1ylt" w:id="1"/>
      <w:bookmarkEnd w:id="1"/>
      <w:r w:rsidDel="00000000" w:rsidR="00000000" w:rsidRPr="00000000">
        <w:rPr>
          <w:rtl w:val="0"/>
        </w:rPr>
        <w:t xml:space="preserve">1. Die Krise der Standardkosmologie und die theoretische Notwendigkeit der FKT</w:t>
      </w:r>
    </w:p>
    <w:p w:rsidR="00000000" w:rsidDel="00000000" w:rsidP="00000000" w:rsidRDefault="00000000" w:rsidRPr="00000000" w14:paraId="00000003">
      <w:pPr>
        <w:rPr/>
      </w:pPr>
      <w:r w:rsidDel="00000000" w:rsidR="00000000" w:rsidRPr="00000000">
        <w:rPr>
          <w:rtl w:val="0"/>
        </w:rPr>
        <w:t xml:space="preserve">Die moderne Physik steht vor einer Zäsur, die über bloße Messungenauigkeiten hinausgeht. Das Standardmodell der Kosmologie ( $\Lambda$ -CDM) ist angesichts der massiven Hubble-Spannung ( $H_0$ -Diskrepanz) und des fortwährenden Scheiterns klassischer WIMP-Suchen (Weakly Interacting Massive Particles) theoretisch erschöpft. Die Fraktale Kausale Theorie (FKT) adressiert diese Krise nicht durch die Postulierung weiterer hypothetischer Teilchen, sondern durch eine kausal geschlossene Geometrisierung der Raumzeit. Während die klassische Astrophysik Dunkle Materie als materielle Substanz missversteht, definiert die FKT diese als geometrischen Bulk-Druck – ein „Gravitations-Echo“ aus einer höherdimensionalen Hierarchie.Dieser Paradigmenwechsel ist strategisch zwingend, um die „kausale Lücke“ der allgemeinen Relativitätstheorie zu schließen. Das Versagen der Lambda-CDM-Modelle bei der Erklärung der frühen Strukturbildung (JWST-Daten) wird in der FKT zur logischen Konsequenz eines allgegenwärtigen Bulk-Tensors, der die galaktische Dynamik stabilisiert.</w:t>
      </w:r>
      <w:r w:rsidDel="00000000" w:rsidR="00000000" w:rsidRPr="00000000">
        <w:rPr>
          <w:b w:val="1"/>
          <w:bCs w:val="1"/>
          <w:rtl w:val="0"/>
        </w:rPr>
        <w:t xml:space="preserve">Tabelle 1: Strategischer Vergleich Lambda-CDM vs. FKT V4.3</w:t>
      </w:r>
      <w:r w:rsidDel="00000000" w:rsidR="00000000" w:rsidRPr="00000000">
        <w:rPr>
          <w:rtl w:val="0"/>
        </w:rPr>
        <w:t xml:space="preserve">| Parameter | Lambda-CDM (Standard) | FKT V4.3 (Kurzer-Modell) || ------ | ------ | ------ || </w:t>
      </w: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67,4 km/s/Mpc (Diskrepanz) | </w:t>
      </w:r>
      <w:r w:rsidDel="00000000" w:rsidR="00000000" w:rsidRPr="00000000">
        <w:rPr>
          <w:b w:val="1"/>
          <w:bCs w:val="1"/>
          <w:rtl w:val="0"/>
        </w:rPr>
        <w:t xml:space="preserve">71,5 ± 0,8 km/s/Mpc (Best-Fit)</w:t>
      </w:r>
      <w:r w:rsidDel="00000000" w:rsidR="00000000" w:rsidRPr="00000000">
        <w:rPr>
          <w:rtl w:val="0"/>
        </w:rPr>
        <w:t xml:space="preserve"> || </w:t>
      </w:r>
      <w:r w:rsidDel="00000000" w:rsidR="00000000" w:rsidRPr="00000000">
        <w:rPr>
          <w:b w:val="1"/>
          <w:bCs w:val="1"/>
          <w:rtl w:val="0"/>
        </w:rPr>
        <w:t xml:space="preserve">Dunkle Materie</w:t>
      </w:r>
      <w:r w:rsidDel="00000000" w:rsidR="00000000" w:rsidRPr="00000000">
        <w:rPr>
          <w:rtl w:val="0"/>
        </w:rPr>
        <w:t xml:space="preserve"> | Hypothetische Teilchen (WIMPs) | </w:t>
      </w:r>
      <w:r w:rsidDel="00000000" w:rsidR="00000000" w:rsidRPr="00000000">
        <w:rPr>
          <w:b w:val="1"/>
          <w:bCs w:val="1"/>
          <w:rtl w:val="0"/>
        </w:rPr>
        <w:t xml:space="preserve">Bulk-Tensor (Geometrischer Druck)</w:t>
      </w:r>
      <w:r w:rsidDel="00000000" w:rsidR="00000000" w:rsidRPr="00000000">
        <w:rPr>
          <w:rtl w:val="0"/>
        </w:rPr>
        <w:t xml:space="preserve"> || </w:t>
      </w:r>
      <w:r w:rsidDel="00000000" w:rsidR="00000000" w:rsidRPr="00000000">
        <w:rPr>
          <w:b w:val="1"/>
          <w:bCs w:val="1"/>
          <w:rtl w:val="0"/>
        </w:rPr>
        <w:t xml:space="preserve">Dunkle Energie</w:t>
      </w:r>
      <w:r w:rsidDel="00000000" w:rsidR="00000000" w:rsidRPr="00000000">
        <w:rPr>
          <w:rtl w:val="0"/>
        </w:rPr>
        <w:t xml:space="preserve"> | Statische Konstante ( $w = -1$ ) | </w:t>
      </w:r>
      <w:r w:rsidDel="00000000" w:rsidR="00000000" w:rsidRPr="00000000">
        <w:rPr>
          <w:b w:val="1"/>
          <w:bCs w:val="1"/>
          <w:rtl w:val="0"/>
        </w:rPr>
        <w:t xml:space="preserve">Dyn. Vakuumanpassung (</w:t>
      </w:r>
      <w:r w:rsidDel="00000000" w:rsidR="00000000" w:rsidRPr="00000000">
        <w:rPr>
          <w:rtl w:val="0"/>
        </w:rPr>
        <w:t xml:space="preserve">  </w:t>
      </w:r>
      <w:r w:rsidDel="00000000" w:rsidR="00000000" w:rsidRPr="00000000">
        <w:rPr>
          <w:b w:val="1"/>
          <w:bCs w:val="1"/>
          <w:rtl w:val="0"/>
        </w:rPr>
        <w:t xml:space="preserve">$w_X = -0,90 \pm 0,05</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Singularitäten</w:t>
      </w:r>
      <w:r w:rsidDel="00000000" w:rsidR="00000000" w:rsidRPr="00000000">
        <w:rPr>
          <w:rtl w:val="0"/>
        </w:rPr>
        <w:t xml:space="preserve"> | Unvermeidbar (mathematisches Ende) | </w:t>
      </w:r>
      <w:r w:rsidDel="00000000" w:rsidR="00000000" w:rsidRPr="00000000">
        <w:rPr>
          <w:b w:val="1"/>
          <w:bCs w:val="1"/>
          <w:rtl w:val="0"/>
        </w:rPr>
        <w:t xml:space="preserve">Bifurkationspunkte (Universen-Keime)</w:t>
      </w:r>
      <w:r w:rsidDel="00000000" w:rsidR="00000000" w:rsidRPr="00000000">
        <w:rPr>
          <w:rtl w:val="0"/>
        </w:rPr>
        <w:t xml:space="preserve"> || </w:t>
      </w:r>
      <w:r w:rsidDel="00000000" w:rsidR="00000000" w:rsidRPr="00000000">
        <w:rPr>
          <w:b w:val="1"/>
          <w:bCs w:val="1"/>
          <w:rtl w:val="0"/>
        </w:rPr>
        <w:t xml:space="preserve">Vakuum-Modell</w:t>
      </w:r>
      <w:r w:rsidDel="00000000" w:rsidR="00000000" w:rsidRPr="00000000">
        <w:rPr>
          <w:rtl w:val="0"/>
        </w:rPr>
        <w:t xml:space="preserve"> | Statisch | </w:t>
      </w:r>
      <w:r w:rsidDel="00000000" w:rsidR="00000000" w:rsidRPr="00000000">
        <w:rPr>
          <w:b w:val="1"/>
          <w:bCs w:val="1"/>
          <w:rtl w:val="0"/>
        </w:rPr>
        <w:t xml:space="preserve">Kausale Kohärenz / Bulk-Echo</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Diese makrokosmische Neudeutung verlangt nach einer rigorosen mikrokosmischen Beweisführung, die die Kausalstruktur der Theorie auf subatomarer Ebene verankert.</w:t>
      </w:r>
    </w:p>
    <w:p w:rsidR="00000000" w:rsidDel="00000000" w:rsidP="00000000" w:rsidRDefault="00000000" w:rsidRPr="00000000" w14:paraId="00000005">
      <w:pPr>
        <w:pStyle w:val="Heading5"/>
        <w:rPr/>
      </w:pPr>
      <w:bookmarkStart w:colFirst="0" w:colLast="0" w:name="_gjfx51985gb6" w:id="2"/>
      <w:bookmarkEnd w:id="2"/>
      <w:r w:rsidDel="00000000" w:rsidR="00000000" w:rsidRPr="00000000">
        <w:rPr>
          <w:rtl w:val="0"/>
        </w:rPr>
        <w:t xml:space="preserve">2. Die Erweiterte Einstein-Kurzer-Gleichung (EYRQ) und die Geometrisierung des Bulks</w:t>
      </w:r>
    </w:p>
    <w:p w:rsidR="00000000" w:rsidDel="00000000" w:rsidP="00000000" w:rsidRDefault="00000000" w:rsidRPr="00000000" w14:paraId="00000006">
      <w:pPr>
        <w:rPr>
          <w:b w:val="1"/>
          <w:bCs w:val="1"/>
        </w:rPr>
      </w:pPr>
      <w:r w:rsidDel="00000000" w:rsidR="00000000" w:rsidRPr="00000000">
        <w:rPr>
          <w:rtl w:val="0"/>
        </w:rPr>
        <w:t xml:space="preserve">Das mathematische Fundament der FKT ist die Erweiterte Einstein-Kurzer-Gleichung (EYRQ):  $G_{\mu\nu} = \kappa(T_{\mu\nu} + \oplus_{\mu\nu})$ . Hierbei integriert der Bulk-Tensor  $\oplus_{\mu\nu}$  (auch als  $\mathcal{T}</w:t>
      </w:r>
      <w:r w:rsidDel="00000000" w:rsidR="00000000" w:rsidRPr="00000000">
        <w:rPr>
          <w:i w:val="1"/>
          <w:iCs w:val="1"/>
          <w:rtl w:val="0"/>
        </w:rPr>
        <w:t xml:space="preserve">{Bulk}$  bezeichnet) die Rückwirkungen des höherdimensionalen Raums direkt in die Metrik. Die tensorielle Zerlegung in longitudinale ( $\oplus</w:t>
      </w:r>
      <w:r w:rsidDel="00000000" w:rsidR="00000000" w:rsidRPr="00000000">
        <w:rPr>
          <w:rtl w:val="0"/>
        </w:rPr>
        <w:t xml:space="preserve">{\parallel\mu\nu}$ ) und transversale ( $\oplus_{\perp\mu\nu}$ ) Komponenten ermöglicht die präzise Modellierung subatomarer Einflüsse. Gemäß dem Master-Dokument V2.1 ist insbesondere die  </w:t>
      </w:r>
      <w:r w:rsidDel="00000000" w:rsidR="00000000" w:rsidRPr="00000000">
        <w:rPr>
          <w:b w:val="1"/>
          <w:bCs w:val="1"/>
          <w:rtl w:val="0"/>
        </w:rPr>
        <w:t xml:space="preserve">transversale Komponente</w:t>
      </w:r>
      <w:r w:rsidDel="00000000" w:rsidR="00000000" w:rsidRPr="00000000">
        <w:rPr>
          <w:rtl w:val="0"/>
        </w:rPr>
        <w:t xml:space="preserve">  ( $\oplus_{\perp\mu\nu}$ ) der entscheidende Treiber für die Modifikation des Skyrme-Tensors innerhalb der Kernstrukturphysik.Ein schlagender Beweis für die Validität der EYRQ auf makroskopischer Ebene ist die  </w:t>
      </w:r>
      <w:r w:rsidDel="00000000" w:rsidR="00000000" w:rsidRPr="00000000">
        <w:rPr>
          <w:b w:val="1"/>
          <w:bCs w:val="1"/>
          <w:rtl w:val="0"/>
        </w:rPr>
        <w:t xml:space="preserve">Saturn-Anomalie</w:t>
      </w:r>
      <w:r w:rsidDel="00000000" w:rsidR="00000000" w:rsidRPr="00000000">
        <w:rPr>
          <w:rtl w:val="0"/>
        </w:rPr>
        <w:t xml:space="preserve"> : Das achsensymmetrische Magnetfeld des Saturns, welches durch das Standardmodell nicht hinreichend erklärt werden kann, ist ein direktes Resultat des Bulk-Tensors, der das Feld in eine axiale Symmetrie zwingt.</w:t>
      </w:r>
      <w:r w:rsidDel="00000000" w:rsidR="00000000" w:rsidRPr="00000000">
        <w:rPr>
          <w:b w:val="1"/>
          <w:bCs w:val="1"/>
          <w:rtl w:val="0"/>
        </w:rPr>
        <w:t xml:space="preserve">Mathematische Kernaxiome der EYRQ:</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Skaleninvarianz:</w:t>
      </w:r>
      <w:r w:rsidDel="00000000" w:rsidR="00000000" w:rsidRPr="00000000">
        <w:rPr>
          <w:rtl w:val="0"/>
        </w:rPr>
        <w:t xml:space="preserve">  Die Hardware des Universums operiert selbstähnlich über alle Größenordnungen hinweg (vom Kern zum Kosmos).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Bulk-Bran-Interaktion:</w:t>
      </w:r>
      <w:r w:rsidDel="00000000" w:rsidR="00000000" w:rsidRPr="00000000">
        <w:rPr>
          <w:rtl w:val="0"/>
        </w:rPr>
        <w:t xml:space="preserve">  Kontinuierlicher Energie- und Informationstransfer aus dem Bulk („Bulk-Echo“) in unsere 4D-Raumzeit.</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Singularitätsfreiheit:</w:t>
      </w:r>
      <w:r w:rsidDel="00000000" w:rsidR="00000000" w:rsidRPr="00000000">
        <w:rPr>
          <w:rtl w:val="0"/>
        </w:rPr>
        <w:t xml:space="preserve">  Die EYRQ transformiert mathematische Singularitäten in dynamische Bifurkationspunkte, die als Keimzellen für Enkel-Universen fungieren.Die Feldgleichung bildet somit die Basis für die Kausale Auditkette, welche die Brücke zwischen der Krümmung des Universums und dem Kernpotential schlägt.</w:t>
      </w:r>
    </w:p>
    <w:p w:rsidR="00000000" w:rsidDel="00000000" w:rsidP="00000000" w:rsidRDefault="00000000" w:rsidRPr="00000000" w14:paraId="0000000A">
      <w:pPr>
        <w:pStyle w:val="Heading5"/>
        <w:rPr/>
      </w:pPr>
      <w:bookmarkStart w:colFirst="0" w:colLast="0" w:name="_tja1akkgc8ml" w:id="3"/>
      <w:bookmarkEnd w:id="3"/>
      <w:r w:rsidDel="00000000" w:rsidR="00000000" w:rsidRPr="00000000">
        <w:rPr>
          <w:rtl w:val="0"/>
        </w:rPr>
        <w:t xml:space="preserve">3. Das Prinzip der Kausalen Auditkette: Skalentransfer von der Kosmologie zum Atomkern</w:t>
      </w:r>
    </w:p>
    <w:p w:rsidR="00000000" w:rsidDel="00000000" w:rsidP="00000000" w:rsidRDefault="00000000" w:rsidRPr="00000000" w14:paraId="0000000B">
      <w:pPr>
        <w:rPr>
          <w:b w:val="1"/>
          <w:bCs w:val="1"/>
        </w:rPr>
      </w:pPr>
      <w:r w:rsidDel="00000000" w:rsidR="00000000" w:rsidRPr="00000000">
        <w:rPr>
          <w:rtl w:val="0"/>
        </w:rPr>
        <w:t xml:space="preserve">Die Kausale Auditkette postuliert, dass ein kosmisches Gravitations-Echo unausweichlich eine messbare Signatur in der Kernstruktur hinterlassen muss. Zentral ist hierbei die Kopplung an einen universellen Grundtakt von  </w:t>
      </w:r>
      <w:r w:rsidDel="00000000" w:rsidR="00000000" w:rsidRPr="00000000">
        <w:rPr>
          <w:b w:val="1"/>
          <w:bCs w:val="1"/>
          <w:rtl w:val="0"/>
        </w:rPr>
        <w:t xml:space="preserve">7,5 Hz</w:t>
      </w:r>
      <w:r w:rsidDel="00000000" w:rsidR="00000000" w:rsidRPr="00000000">
        <w:rPr>
          <w:rtl w:val="0"/>
        </w:rPr>
        <w:t xml:space="preserve">  (der „Herzschlag des Bulks“), der über die fraktale  </w:t>
      </w:r>
      <w:r w:rsidDel="00000000" w:rsidR="00000000" w:rsidRPr="00000000">
        <w:rPr>
          <w:b w:val="1"/>
          <w:bCs w:val="1"/>
          <w:rtl w:val="0"/>
        </w:rPr>
        <w:t xml:space="preserve">$\varphi^2</w:t>
      </w:r>
      <w:r w:rsidDel="00000000" w:rsidR="00000000" w:rsidRPr="00000000">
        <w:rPr>
          <w:rtl w:val="0"/>
        </w:rPr>
        <w:t xml:space="preserve">$  </w:t>
      </w:r>
      <w:r w:rsidDel="00000000" w:rsidR="00000000" w:rsidRPr="00000000">
        <w:rPr>
          <w:b w:val="1"/>
          <w:bCs w:val="1"/>
          <w:rtl w:val="0"/>
        </w:rPr>
        <w:t xml:space="preserve">-Korrelation</w:t>
      </w:r>
      <w:r w:rsidDel="00000000" w:rsidR="00000000" w:rsidRPr="00000000">
        <w:rPr>
          <w:rtl w:val="0"/>
        </w:rPr>
        <w:t xml:space="preserve">  mit subatomaren Resonanzen korrespondiert. Der Atomkern fungiert in diesem Framework als „Bulk-Resonator“, dessen „Kernverschieblichkeit“ die lokale Raumzeit-Metrik widerspiegelt.</w:t>
      </w:r>
      <w:r w:rsidDel="00000000" w:rsidR="00000000" w:rsidRPr="00000000">
        <w:rPr>
          <w:b w:val="1"/>
          <w:bCs w:val="1"/>
          <w:rtl w:val="0"/>
        </w:rPr>
        <w:t xml:space="preserve">FKT-Skalen-Workflow:</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Bulk-Tensor-Extraktion:</w:t>
      </w:r>
      <w:r w:rsidDel="00000000" w:rsidR="00000000" w:rsidRPr="00000000">
        <w:rPr>
          <w:rtl w:val="0"/>
        </w:rPr>
        <w:t xml:space="preserve">  Bestimmung der geometrischen Druckwerte aus kosmologischen  $H_0$ - und  $w_X$ -Daten.</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Quantentransformation:</w:t>
      </w:r>
      <w:r w:rsidDel="00000000" w:rsidR="00000000" w:rsidRPr="00000000">
        <w:rPr>
          <w:rtl w:val="0"/>
        </w:rPr>
        <w:t xml:space="preserve">  Überführung des Tensors in das effektive Quantenfeld  $\Psi_{Bulk}$ .</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Skyrme-Modifikation:</w:t>
      </w:r>
      <w:r w:rsidDel="00000000" w:rsidR="00000000" w:rsidRPr="00000000">
        <w:rPr>
          <w:rtl w:val="0"/>
        </w:rPr>
        <w:t xml:space="preserve">  Anpassung der nuklearen Wechselwirkungsparameter durch die transversale Bulk-Kopplung.</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Eigenwert-Detektion:</w:t>
      </w:r>
      <w:r w:rsidDel="00000000" w:rsidR="00000000" w:rsidRPr="00000000">
        <w:rPr>
          <w:rtl w:val="0"/>
        </w:rPr>
        <w:t xml:space="preserve">  Berechnung der spezifischen Energieniveaus verschobener Kernzustände.Dieser Workflow identifiziert Flerovium als das optimale Instrument für das finale experimentelle Audit.</w:t>
      </w:r>
    </w:p>
    <w:p w:rsidR="00000000" w:rsidDel="00000000" w:rsidP="00000000" w:rsidRDefault="00000000" w:rsidRPr="00000000" w14:paraId="00000010">
      <w:pPr>
        <w:pStyle w:val="Heading5"/>
        <w:rPr/>
      </w:pPr>
      <w:bookmarkStart w:colFirst="0" w:colLast="0" w:name="_6ni64yp9evvz" w:id="4"/>
      <w:bookmarkEnd w:id="4"/>
      <w:r w:rsidDel="00000000" w:rsidR="00000000" w:rsidRPr="00000000">
        <w:rPr>
          <w:rtl w:val="0"/>
        </w:rPr>
        <w:t xml:space="preserve">4. Die Flerovium-Hypothese: Physikalischer Nachweis der 3,773-MeV-Gammalinie</w:t>
      </w:r>
    </w:p>
    <w:p w:rsidR="00000000" w:rsidDel="00000000" w:rsidP="00000000" w:rsidRDefault="00000000" w:rsidRPr="00000000" w14:paraId="00000011">
      <w:pPr>
        <w:rPr/>
      </w:pPr>
      <w:r w:rsidDel="00000000" w:rsidR="00000000" w:rsidRPr="00000000">
        <w:rPr>
          <w:rtl w:val="0"/>
        </w:rPr>
        <w:t xml:space="preserve">Flerovium (Z=114) ist aufgrund seiner Position an der „Insel der Stabilität“ der sensitivste verfügbare Quanten-Sensor für Bulk-Fluktuationen. Die FKT prognostiziert eine asymmetrische Eigenwertverschiebung im erweiterten Hamilton-Operator  $H_{FKT}$ , die sich in einem spezifischen  $2+ \to 0+$  Übergang manifestiert.Gemäß der numerischen Herleitung (Master-Dokument V2.1) ergeben sich die folgenden präzisen Eigenzustände:</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Angeregter Zustand (</w:t>
      </w:r>
      <w:r w:rsidDel="00000000" w:rsidR="00000000" w:rsidRPr="00000000">
        <w:rPr>
          <w:rtl w:val="0"/>
        </w:rPr>
        <w:t xml:space="preserve">  </w:t>
      </w:r>
      <w:r w:rsidDel="00000000" w:rsidR="00000000" w:rsidRPr="00000000">
        <w:rPr>
          <w:b w:val="1"/>
          <w:bCs w:val="1"/>
          <w:rtl w:val="0"/>
        </w:rPr>
        <w:t xml:space="preserve">$E_{2+}</w:t>
      </w:r>
      <w:r w:rsidDel="00000000" w:rsidR="00000000" w:rsidRPr="00000000">
        <w:rPr>
          <w:rtl w:val="0"/>
        </w:rPr>
        <w:t xml:space="preserve">$  </w:t>
      </w:r>
      <w:r w:rsidDel="00000000" w:rsidR="00000000" w:rsidRPr="00000000">
        <w:rPr>
          <w:b w:val="1"/>
          <w:bCs w:val="1"/>
          <w:rtl w:val="0"/>
        </w:rPr>
        <w:t xml:space="preserve">): 4,105 MeV</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Grundzustand (</w:t>
      </w:r>
      <w:r w:rsidDel="00000000" w:rsidR="00000000" w:rsidRPr="00000000">
        <w:rPr>
          <w:rtl w:val="0"/>
        </w:rPr>
        <w:t xml:space="preserve">  </w:t>
      </w:r>
      <w:r w:rsidDel="00000000" w:rsidR="00000000" w:rsidRPr="00000000">
        <w:rPr>
          <w:b w:val="1"/>
          <w:bCs w:val="1"/>
          <w:rtl w:val="0"/>
        </w:rPr>
        <w:t xml:space="preserve">$E_{0+}</w:t>
      </w:r>
      <w:r w:rsidDel="00000000" w:rsidR="00000000" w:rsidRPr="00000000">
        <w:rPr>
          <w:rtl w:val="0"/>
        </w:rPr>
        <w:t xml:space="preserve">$  </w:t>
      </w:r>
      <w:r w:rsidDel="00000000" w:rsidR="00000000" w:rsidRPr="00000000">
        <w:rPr>
          <w:b w:val="1"/>
          <w:bCs w:val="1"/>
          <w:rtl w:val="0"/>
        </w:rPr>
        <w:t xml:space="preserve">): 0,332 MeV</w:t>
      </w:r>
      <w:r w:rsidDel="00000000" w:rsidR="00000000" w:rsidRPr="00000000">
        <w:rPr>
          <w:rtl w:val="0"/>
        </w:rPr>
        <w:t xml:space="preserve">Die Differenz dieser Werte führt zur mathematisch notwendigen Prognose der 3,773-MeV-Gammalinie.</w:t>
      </w:r>
      <w:r w:rsidDel="00000000" w:rsidR="00000000" w:rsidRPr="00000000">
        <w:rPr>
          <w:b w:val="1"/>
          <w:bCs w:val="1"/>
          <w:rtl w:val="0"/>
        </w:rPr>
        <w:t xml:space="preserve">Statistische Eckdaten der Bootstrap-Analyse (N=10.000):</w:t>
      </w:r>
    </w:p>
    <w:p w:rsidR="00000000" w:rsidDel="00000000" w:rsidP="00000000" w:rsidRDefault="00000000" w:rsidRPr="00000000" w14:paraId="00000014">
      <w:pPr>
        <w:numPr>
          <w:ilvl w:val="0"/>
          <w:numId w:val="4"/>
        </w:numPr>
        <w:ind w:left="720" w:hanging="360"/>
        <w:rPr>
          <w:b w:val="1"/>
          <w:bCs w:val="1"/>
        </w:rPr>
      </w:pPr>
      <w:r w:rsidDel="00000000" w:rsidR="00000000" w:rsidRPr="00000000">
        <w:rPr>
          <w:b w:val="1"/>
          <w:bCs w:val="1"/>
          <w:rtl w:val="0"/>
        </w:rPr>
        <w:t xml:space="preserve">Prognostizierter Median: 3,773 MeV</w:t>
      </w:r>
    </w:p>
    <w:p w:rsidR="00000000" w:rsidDel="00000000" w:rsidP="00000000" w:rsidRDefault="00000000" w:rsidRPr="00000000" w14:paraId="00000015">
      <w:pPr>
        <w:numPr>
          <w:ilvl w:val="0"/>
          <w:numId w:val="4"/>
        </w:numPr>
        <w:ind w:left="720" w:hanging="360"/>
        <w:rPr>
          <w:b w:val="1"/>
          <w:bCs w:val="1"/>
        </w:rPr>
      </w:pPr>
      <w:r w:rsidDel="00000000" w:rsidR="00000000" w:rsidRPr="00000000">
        <w:rPr>
          <w:b w:val="1"/>
          <w:bCs w:val="1"/>
          <w:rtl w:val="0"/>
        </w:rPr>
        <w:t xml:space="preserve">95%-Konfidenzintervall: 3,745, 3,802 MeV</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Empirische Standardabweichung:</w:t>
      </w:r>
      <w:r w:rsidDel="00000000" w:rsidR="00000000" w:rsidRPr="00000000">
        <w:rPr>
          <w:rtl w:val="0"/>
        </w:rPr>
        <w:t xml:space="preserve">  </w:t>
      </w:r>
      <w:r w:rsidDel="00000000" w:rsidR="00000000" w:rsidRPr="00000000">
        <w:rPr>
          <w:b w:val="1"/>
          <w:bCs w:val="1"/>
          <w:rtl w:val="0"/>
        </w:rPr>
        <w:t xml:space="preserve">$\sigma_{boot} \approx 0,014</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Die Validierung dieser Signatur ist der nukleare Anker, der die gesamte kausale Kette der FKT schließt.</w:t>
      </w:r>
    </w:p>
    <w:p w:rsidR="00000000" w:rsidDel="00000000" w:rsidP="00000000" w:rsidRDefault="00000000" w:rsidRPr="00000000" w14:paraId="00000017">
      <w:pPr>
        <w:pStyle w:val="Heading5"/>
        <w:rPr/>
      </w:pPr>
      <w:bookmarkStart w:colFirst="0" w:colLast="0" w:name="_hwg926y9egg1" w:id="5"/>
      <w:bookmarkEnd w:id="5"/>
      <w:r w:rsidDel="00000000" w:rsidR="00000000" w:rsidRPr="00000000">
        <w:rPr>
          <w:rtl w:val="0"/>
        </w:rPr>
        <w:t xml:space="preserve">5. Methodik der Validierung: K-FEM, MCMC-Inferenz und statistische Integrität</w:t>
      </w:r>
    </w:p>
    <w:p w:rsidR="00000000" w:rsidDel="00000000" w:rsidP="00000000" w:rsidRDefault="00000000" w:rsidRPr="00000000" w14:paraId="00000018">
      <w:pPr>
        <w:rPr>
          <w:b w:val="1"/>
          <w:bCs w:val="1"/>
        </w:rPr>
      </w:pPr>
      <w:r w:rsidDel="00000000" w:rsidR="00000000" w:rsidRPr="00000000">
        <w:rPr>
          <w:rtl w:val="0"/>
        </w:rPr>
        <w:t xml:space="preserve">Die Absicherung der Prognose erfolgt über das Kurzer-Finite-Elemente-Verfahren (K-FEM). Zur Kalibrierung der FKT-Parameter gegenüber globalen Datensätzen wird die  </w:t>
      </w:r>
      <w:r w:rsidDel="00000000" w:rsidR="00000000" w:rsidRPr="00000000">
        <w:rPr>
          <w:b w:val="1"/>
          <w:bCs w:val="1"/>
          <w:rtl w:val="0"/>
        </w:rPr>
        <w:t xml:space="preserve">MCMC-Inferenz</w:t>
      </w:r>
      <w:r w:rsidDel="00000000" w:rsidR="00000000" w:rsidRPr="00000000">
        <w:rPr>
          <w:rtl w:val="0"/>
        </w:rPr>
        <w:t xml:space="preserve">  (Markov Chain Monte Carlo) innerhalb des  </w:t>
      </w:r>
      <w:r w:rsidDel="00000000" w:rsidR="00000000" w:rsidRPr="00000000">
        <w:rPr>
          <w:b w:val="1"/>
          <w:bCs w:val="1"/>
          <w:rtl w:val="0"/>
        </w:rPr>
        <w:t xml:space="preserve">Cobaya-Frameworks</w:t>
      </w:r>
      <w:r w:rsidDel="00000000" w:rsidR="00000000" w:rsidRPr="00000000">
        <w:rPr>
          <w:rtl w:val="0"/>
        </w:rPr>
        <w:t xml:space="preserve">  unter Nutzung massiver  </w:t>
      </w:r>
      <w:r w:rsidDel="00000000" w:rsidR="00000000" w:rsidRPr="00000000">
        <w:rPr>
          <w:b w:val="1"/>
          <w:bCs w:val="1"/>
          <w:rtl w:val="0"/>
        </w:rPr>
        <w:t xml:space="preserve">HPC-Ressourcen</w:t>
      </w:r>
      <w:r w:rsidDel="00000000" w:rsidR="00000000" w:rsidRPr="00000000">
        <w:rPr>
          <w:rtl w:val="0"/>
        </w:rPr>
        <w:t xml:space="preserve">  eingesetzt. Die statistische Integrität wird durch das Gelman-Rubin-Diagnostikum ( $R-1 &lt; 0,014$ ) garantiert.</w:t>
      </w:r>
      <w:r w:rsidDel="00000000" w:rsidR="00000000" w:rsidRPr="00000000">
        <w:rPr>
          <w:b w:val="1"/>
          <w:bCs w:val="1"/>
          <w:rtl w:val="0"/>
        </w:rPr>
        <w:t xml:space="preserve">Audit-Komponenten des Validierungsprozesses: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SymPy-Skripte:</w:t>
      </w:r>
      <w:r w:rsidDel="00000000" w:rsidR="00000000" w:rsidRPr="00000000">
        <w:rPr>
          <w:rtl w:val="0"/>
        </w:rPr>
        <w:t xml:space="preserve">  Automatisierte symbolische Herleitung der Feldgleichungen zur Eliminierung menschlicher Rechenfehler.</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YAML-Konfigurationen:</w:t>
      </w:r>
      <w:r w:rsidDel="00000000" w:rsidR="00000000" w:rsidRPr="00000000">
        <w:rPr>
          <w:rtl w:val="0"/>
        </w:rPr>
        <w:t xml:space="preserve">  Vollständige Dokumentation der Modellparameter für die Cobaya-Pipeline.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SHA256-Hashes:</w:t>
      </w:r>
      <w:r w:rsidDel="00000000" w:rsidR="00000000" w:rsidRPr="00000000">
        <w:rPr>
          <w:rtl w:val="0"/>
        </w:rPr>
        <w:t xml:space="preserve">  Kryptographische Sicherung jedes Simulationsschritts zur Gewährleistung der Reproduzierbarkeit (Open Science/Zenodo).</w:t>
      </w:r>
    </w:p>
    <w:p w:rsidR="00000000" w:rsidDel="00000000" w:rsidP="00000000" w:rsidRDefault="00000000" w:rsidRPr="00000000" w14:paraId="0000001C">
      <w:pPr>
        <w:pStyle w:val="Heading5"/>
        <w:rPr/>
      </w:pPr>
      <w:bookmarkStart w:colFirst="0" w:colLast="0" w:name="_9in5j2obhw0t" w:id="6"/>
      <w:bookmarkEnd w:id="6"/>
      <w:r w:rsidDel="00000000" w:rsidR="00000000" w:rsidRPr="00000000">
        <w:rPr>
          <w:rtl w:val="0"/>
        </w:rPr>
        <w:t xml:space="preserve">6. Technologische und zivilisatorische Implikationen: Vom Flerovium-Beweis zum GMA</w:t>
      </w:r>
    </w:p>
    <w:p w:rsidR="00000000" w:rsidDel="00000000" w:rsidP="00000000" w:rsidRDefault="00000000" w:rsidRPr="00000000" w14:paraId="0000001D">
      <w:pPr>
        <w:rPr>
          <w:b w:val="1"/>
          <w:bCs w:val="1"/>
        </w:rPr>
      </w:pPr>
      <w:r w:rsidDel="00000000" w:rsidR="00000000" w:rsidRPr="00000000">
        <w:rPr>
          <w:rtl w:val="0"/>
        </w:rPr>
        <w:t xml:space="preserve">Die Bestätigung der 3,773-MeV-Linie kalibriert die operative Schlüsselgröße  $\eta_{Dim}$ , welche die Grundlage für den Gravitationsmanipulationsantrieb (GMA) bildet. Die technologische Brücke zwischen Gravitation und Quantenmechanik wird durch die fundamentale  </w:t>
      </w:r>
      <w:r w:rsidDel="00000000" w:rsidR="00000000" w:rsidRPr="00000000">
        <w:rPr>
          <w:b w:val="1"/>
          <w:bCs w:val="1"/>
          <w:rtl w:val="0"/>
        </w:rPr>
        <w:t xml:space="preserve">$C_{GMA}</w:t>
      </w:r>
      <w:r w:rsidDel="00000000" w:rsidR="00000000" w:rsidRPr="00000000">
        <w:rPr>
          <w:rtl w:val="0"/>
        </w:rPr>
        <w:t xml:space="preserve">$  </w:t>
      </w:r>
      <w:r w:rsidDel="00000000" w:rsidR="00000000" w:rsidRPr="00000000">
        <w:rPr>
          <w:b w:val="1"/>
          <w:bCs w:val="1"/>
          <w:rtl w:val="0"/>
        </w:rPr>
        <w:t xml:space="preserve">-Konstante</w:t>
      </w:r>
      <w:r w:rsidDel="00000000" w:rsidR="00000000" w:rsidRPr="00000000">
        <w:rPr>
          <w:rtl w:val="0"/>
        </w:rPr>
        <w:t xml:space="preserve">  geschlagen:$$C_{GMA} = \left( \frac{c^{11}}{G^2 \cdot \hbar^2} \right) \cdot \ell_P$$Diese Konstante ermöglicht die Steuerung der Krümmungsdichte ( $R$ ) ohne Ausstoßmasse durch Bulk-Verschränkung ( $D_\Phi$ ). Der Übergang zur Typ-II-Zivilisation ist hierbei eine energetische Notwendigkeit, da der GMA die Erschließung der vollen solaren Leistung ( $E_{Dyson} \approx 3,8 \times 10^{26}$  Watt) erfordert.</w:t>
      </w:r>
      <w:r w:rsidDel="00000000" w:rsidR="00000000" w:rsidRPr="00000000">
        <w:rPr>
          <w:b w:val="1"/>
          <w:bCs w:val="1"/>
          <w:rtl w:val="0"/>
        </w:rPr>
        <w:t xml:space="preserve">GMA-Leistungsparameter:</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Kinetik:</w:t>
      </w:r>
      <w:r w:rsidDel="00000000" w:rsidR="00000000" w:rsidRPr="00000000">
        <w:rPr>
          <w:rtl w:val="0"/>
        </w:rPr>
        <w:t xml:space="preserve">  50-fach schnellere Rückstellzeiten (Recovery Times) im Vergleich zu herkömmlichen Materialien.</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Energieeffizienz:</w:t>
      </w:r>
      <w:r w:rsidDel="00000000" w:rsidR="00000000" w:rsidRPr="00000000">
        <w:rPr>
          <w:rtl w:val="0"/>
        </w:rPr>
        <w:t xml:space="preserve">  Steigerung der Systemeffizienz um den Faktor  </w:t>
      </w:r>
      <w:r w:rsidDel="00000000" w:rsidR="00000000" w:rsidRPr="00000000">
        <w:rPr>
          <w:b w:val="1"/>
          <w:bCs w:val="1"/>
          <w:rtl w:val="0"/>
        </w:rPr>
        <w:t xml:space="preserve">$\sim 1,2 \times 10^6</w:t>
      </w:r>
      <w:r w:rsidDel="00000000" w:rsidR="00000000" w:rsidRPr="00000000">
        <w:rPr>
          <w:rtl w:val="0"/>
        </w:rPr>
        <w:t xml:space="preserve">$ .</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Propulsion:</w:t>
      </w:r>
      <w:r w:rsidDel="00000000" w:rsidR="00000000" w:rsidRPr="00000000">
        <w:rPr>
          <w:rtl w:val="0"/>
        </w:rPr>
        <w:t xml:space="preserve">  Non-lokale Bewegung durch gezielte Metrik-Manipulation der 3D-Bran.</w:t>
      </w:r>
    </w:p>
    <w:p w:rsidR="00000000" w:rsidDel="00000000" w:rsidP="00000000" w:rsidRDefault="00000000" w:rsidRPr="00000000" w14:paraId="00000021">
      <w:pPr>
        <w:pStyle w:val="Heading5"/>
        <w:rPr/>
      </w:pPr>
      <w:bookmarkStart w:colFirst="0" w:colLast="0" w:name="_av3kzx6rsx09" w:id="7"/>
      <w:bookmarkEnd w:id="7"/>
      <w:r w:rsidDel="00000000" w:rsidR="00000000" w:rsidRPr="00000000">
        <w:rPr>
          <w:rtl w:val="0"/>
        </w:rPr>
        <w:t xml:space="preserve">7. Forschungsantrag: Forderung nach Beschleunigerkapazitäten und Fazit</w:t>
      </w:r>
    </w:p>
    <w:p w:rsidR="00000000" w:rsidDel="00000000" w:rsidP="00000000" w:rsidRDefault="00000000" w:rsidRPr="00000000" w14:paraId="00000022">
      <w:pPr>
        <w:rPr>
          <w:i w:val="1"/>
          <w:iCs w:val="1"/>
        </w:rPr>
      </w:pPr>
      <w:r w:rsidDel="00000000" w:rsidR="00000000" w:rsidRPr="00000000">
        <w:rPr>
          <w:rtl w:val="0"/>
        </w:rPr>
        <w:t xml:space="preserve">Die theoretische Arbeit der FKT ist abgeschlossen und durch interne KI-Audits formal verifiziert. Wir fordern hiermit die sofortige Bereitstellung von Strahlzeit an den Einrichtungen  </w:t>
      </w:r>
      <w:r w:rsidDel="00000000" w:rsidR="00000000" w:rsidRPr="00000000">
        <w:rPr>
          <w:b w:val="1"/>
          <w:bCs w:val="1"/>
          <w:rtl w:val="0"/>
        </w:rPr>
        <w:t xml:space="preserve">GSI (Darmstadt), CERN (Genf) und LBNL (Berkeley)</w:t>
      </w:r>
      <w:r w:rsidDel="00000000" w:rsidR="00000000" w:rsidRPr="00000000">
        <w:rPr>
          <w:rtl w:val="0"/>
        </w:rPr>
        <w:t xml:space="preserve">  zur Durchführung der Gammaspektroskopie an Flerovium-Isotopen.Die Zeit für theoretische Zögerlichkeit ist vorbei. Dieses Experiment stellt das ultimative Falsifikationskriterium dar: Ein Nullresultat würde die FKT widerlegen. Die Bestätigung der 3,773-MeV-Resonanz hingegen beendet die Ära der spekulativen Kosmologie und leitet das Zeitalter der kausalen Ingenieurwissenschaften ein. Die Menschheit steht an der Schwelle zur interstellaren Mobilität – die Ressourcenallokation für diesen finalen Beweis ist der einzig logische Pfad.</w:t>
      </w:r>
      <w:r w:rsidDel="00000000" w:rsidR="00000000" w:rsidRPr="00000000">
        <w:rPr>
          <w:b w:val="1"/>
          <w:bCs w:val="1"/>
          <w:rtl w:val="0"/>
        </w:rPr>
        <w:t xml:space="preserve">„Der Druck der Unendlichkeit ist die Unendlichkeit.“</w:t>
      </w:r>
      <w:r w:rsidDel="00000000" w:rsidR="00000000" w:rsidRPr="00000000">
        <w:rPr>
          <w:rtl w:val="0"/>
        </w:rPr>
        <w:t xml:space="preserve">   </w:t>
      </w:r>
      <w:r w:rsidDel="00000000" w:rsidR="00000000" w:rsidRPr="00000000">
        <w:rPr>
          <w:i w:val="1"/>
          <w:iCs w:val="1"/>
          <w:rtl w:val="0"/>
        </w:rPr>
        <w:t xml:space="preserve">(Kurzer-Prinzip)</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