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usxvcgs7y32p" w:id="0"/>
      <w:bookmarkEnd w:id="0"/>
      <w:r w:rsidDel="00000000" w:rsidR="00000000" w:rsidRPr="00000000">
        <w:rPr>
          <w:rtl w:val="0"/>
        </w:rPr>
        <w:t xml:space="preserve">Wissenschaftliches Prüfprotokoll: Validierung der Flerovium-Hypothese und der EYRQ-Feldgleichung (V4.3)</w:t>
      </w:r>
    </w:p>
    <w:p w:rsidR="00000000" w:rsidDel="00000000" w:rsidP="00000000" w:rsidRDefault="00000000" w:rsidRPr="00000000" w14:paraId="00000002">
      <w:pPr>
        <w:pStyle w:val="Heading4"/>
        <w:rPr/>
      </w:pPr>
      <w:bookmarkStart w:colFirst="0" w:colLast="0" w:name="_fbm5n9bsk5q1" w:id="1"/>
      <w:bookmarkEnd w:id="1"/>
      <w:r w:rsidDel="00000000" w:rsidR="00000000" w:rsidRPr="00000000">
        <w:rPr>
          <w:rtl w:val="0"/>
        </w:rPr>
        <w:t xml:space="preserve">1. Theoretisches Fundament: Die Erweiterte Einstein-Kurzer-Gleichung (EYRQ)</w:t>
      </w:r>
    </w:p>
    <w:p w:rsidR="00000000" w:rsidDel="00000000" w:rsidP="00000000" w:rsidRDefault="00000000" w:rsidRPr="00000000" w14:paraId="00000003">
      <w:pPr>
        <w:rPr/>
      </w:pPr>
      <w:r w:rsidDel="00000000" w:rsidR="00000000" w:rsidRPr="00000000">
        <w:rPr>
          <w:rtl w:val="0"/>
        </w:rPr>
        <w:t xml:space="preserve">Die Erweiterte Einstein-Kurzer-Gleichung (EYRQ) ist das strategische Fundament zur Schließung der „Kausalen Lücke“, die das Standardmodell ( $\Lambda$ CDM) an den Grenzen von Singularitäten und der Hubble-Spannung hinterlässt. Während die konventionelle Physik Dunkle Materie als hypothetische WIMPs (Weakly Interacting Massive Particles) postuliert, ohne einen experimentellen Nachweis zu erbringen, geometrisiert die FKT diese Phänomene als „geometrischen Druck“. Dieser Druck resultiert aus einem Masse-Energie-Transfer („Siphoning“) aus dem höherdimensionalen Bulk ( $T_{Bulk}$ ) in unsere 3D-Bran. Die Stärke dieses Einflusses skaliert invers zur lokalen Bran-Dichte ( $1/D_{Bran}$ ), was die erhöhten Gravitationseffekte an galaktischen Rändern ohne Zusatzmasse mathematisch zwingend erklärt.Die Herleitung der EYRQ erfolgt durch die Transformation des Bulk-Transport-Tensors in die vierdimensionale Metrik:$$G_{\mu\nu} = \frac{8\pi G}{c^4} T_{Standard} + \oplus_{\mu\nu}$$Hierbei fungiert der Bulk-Tensor  $\oplus_{\mu\nu}$  als geometrisches Korrektiv. Für die analytische Anwendung in der Kernphysik ist eine tensorielle Zerlegung in longitudinale und transversale Komponenten erforderlich:| Komponente | Mathematische Definition | Physikalische Wirkung || ------ | ------ | ------ || </w:t>
      </w:r>
      <w:r w:rsidDel="00000000" w:rsidR="00000000" w:rsidRPr="00000000">
        <w:rPr>
          <w:b w:val="1"/>
          <w:bCs w:val="1"/>
          <w:rtl w:val="0"/>
        </w:rPr>
        <w:t xml:space="preserve">Longitudinal</w:t>
      </w:r>
      <w:r w:rsidDel="00000000" w:rsidR="00000000" w:rsidRPr="00000000">
        <w:rPr>
          <w:rtl w:val="0"/>
        </w:rPr>
        <w:t xml:space="preserve">  ( $\oplus_{\parallel\mu\nu}$ ) | $\nabla_\mu \Phi \nabla_\nu \Phi$ | Gerichteter Korrelationsfluss entlang der Raumzeitachsen (Impulstransport). || </w:t>
      </w:r>
      <w:r w:rsidDel="00000000" w:rsidR="00000000" w:rsidRPr="00000000">
        <w:rPr>
          <w:b w:val="1"/>
          <w:bCs w:val="1"/>
          <w:rtl w:val="0"/>
        </w:rPr>
        <w:t xml:space="preserve">Transversal</w:t>
      </w:r>
      <w:r w:rsidDel="00000000" w:rsidR="00000000" w:rsidRPr="00000000">
        <w:rPr>
          <w:rtl w:val="0"/>
        </w:rPr>
        <w:t xml:space="preserve">  ( $\oplus_{\perp\mu\nu}$ ) | $-\frac{1}{2} g_{\mu\nu} (g_b \sqrt{\nabla_\alpha \Phi \nabla^\alpha \Phi} + L_\Phi)$ | </w:t>
      </w:r>
      <w:r w:rsidDel="00000000" w:rsidR="00000000" w:rsidRPr="00000000">
        <w:rPr>
          <w:b w:val="1"/>
          <w:bCs w:val="1"/>
          <w:rtl w:val="0"/>
        </w:rPr>
        <w:t xml:space="preserve">Isotrope Rückwirkung</w:t>
      </w:r>
      <w:r w:rsidDel="00000000" w:rsidR="00000000" w:rsidRPr="00000000">
        <w:rPr>
          <w:rtl w:val="0"/>
        </w:rPr>
        <w:t xml:space="preserve">  auf die lokale Metrik (geometrischer Druck). |</w:t>
      </w:r>
    </w:p>
    <w:p w:rsidR="00000000" w:rsidDel="00000000" w:rsidP="00000000" w:rsidRDefault="00000000" w:rsidRPr="00000000" w14:paraId="00000004">
      <w:pPr>
        <w:rPr/>
      </w:pPr>
      <w:r w:rsidDel="00000000" w:rsidR="00000000" w:rsidRPr="00000000">
        <w:rPr>
          <w:rtl w:val="0"/>
        </w:rPr>
        <w:t xml:space="preserve">Dieser Übergang von der kosmologischen Geometrie zur nuklearen Skala ermöglicht die Definition des Kernpotentials als Funktion der Bulk-Resonanz.</w:t>
      </w:r>
    </w:p>
    <w:p w:rsidR="00000000" w:rsidDel="00000000" w:rsidP="00000000" w:rsidRDefault="00000000" w:rsidRPr="00000000" w14:paraId="00000005">
      <w:pPr>
        <w:pStyle w:val="Heading4"/>
        <w:rPr/>
      </w:pPr>
      <w:bookmarkStart w:colFirst="0" w:colLast="0" w:name="_ladsnbguznj6" w:id="2"/>
      <w:bookmarkEnd w:id="2"/>
      <w:r w:rsidDel="00000000" w:rsidR="00000000" w:rsidRPr="00000000">
        <w:rPr>
          <w:rtl w:val="0"/>
        </w:rPr>
        <w:t xml:space="preserve">2. Der Flerovium-Kern als Quanten-Resonator (Bulk-Resonanz)</w:t>
      </w:r>
    </w:p>
    <w:p w:rsidR="00000000" w:rsidDel="00000000" w:rsidP="00000000" w:rsidRDefault="00000000" w:rsidRPr="00000000" w14:paraId="00000006">
      <w:pPr>
        <w:rPr/>
      </w:pPr>
      <w:r w:rsidDel="00000000" w:rsidR="00000000" w:rsidRPr="00000000">
        <w:rPr>
          <w:rtl w:val="0"/>
        </w:rPr>
        <w:t xml:space="preserve">Zur experimentellen Falsifizierung der FKT wurde Flerovium-298 ( $Z=114, N=184$ ) als idealer „Bulk-Sensor“ identifiziert. Seine Position im Zentrum der „Insel der Stabilität“ minimiert Standard-Instabilitäten und maximiert die Sensitivität gegenüber dem Bulk-Feld. Die Kopplung erfolgt über eine Modifikation des Skyrme-Tensors  $S^{\mu\nu}$ , der die Kernwechselwirkungen beschreibt:$$S_{eff}^{\mu\nu} = S^{\mu\nu} + \lambda \cdot \oplus_{\perp}^{\mu\nu}$$Dabei ist  $\lambda$  der dimensionslose Kopplungsfaktor, der aus dem Kurzer-Prinzip der Skalenübertragung abgeleitet wird. Der erweiterte Hamiltonoperator  $H_{FKT}$  integriert diese transversale Kopplung:$$H_{FKT} = H_{Kern} + V_{Kurzer}(\Psi_{Bulk}, Z, N)$$Diese asymmetrische Verschiebung der Eigenwerte erzeugt eine spezifische energetische Signatur, die für den Nachweis der FKT zwingend erforderlich ist. Die Kurzer-Finite-Elemente-Simulationen (K-FEM) liefern unter Berücksichtigung der statistischen Varianzen ( $\sigma$ ) folgende Werte:</w:t>
      </w:r>
    </w:p>
    <w:p w:rsidR="00000000" w:rsidDel="00000000" w:rsidP="00000000" w:rsidRDefault="00000000" w:rsidRPr="00000000" w14:paraId="00000007">
      <w:pPr>
        <w:numPr>
          <w:ilvl w:val="0"/>
          <w:numId w:val="5"/>
        </w:numPr>
        <w:ind w:left="720" w:hanging="360"/>
        <w:rPr>
          <w:u w:val="none"/>
        </w:rPr>
      </w:pPr>
      <w:r w:rsidDel="00000000" w:rsidR="00000000" w:rsidRPr="00000000">
        <w:rPr>
          <w:b w:val="1"/>
          <w:bCs w:val="1"/>
          <w:rtl w:val="0"/>
        </w:rPr>
        <w:t xml:space="preserve">Angeregter Zustand (</w:t>
      </w:r>
      <w:r w:rsidDel="00000000" w:rsidR="00000000" w:rsidRPr="00000000">
        <w:rPr>
          <w:rtl w:val="0"/>
        </w:rPr>
        <w:t xml:space="preserve">  </w:t>
      </w: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$4,105$  MeV ( $\sigma = 0,018$  MeV)</w:t>
      </w:r>
    </w:p>
    <w:p w:rsidR="00000000" w:rsidDel="00000000" w:rsidP="00000000" w:rsidRDefault="00000000" w:rsidRPr="00000000" w14:paraId="00000008">
      <w:pPr>
        <w:numPr>
          <w:ilvl w:val="0"/>
          <w:numId w:val="5"/>
        </w:numPr>
        <w:ind w:left="720" w:hanging="360"/>
        <w:rPr>
          <w:u w:val="none"/>
        </w:rPr>
      </w:pPr>
      <w:r w:rsidDel="00000000" w:rsidR="00000000" w:rsidRPr="00000000">
        <w:rPr>
          <w:b w:val="1"/>
          <w:bCs w:val="1"/>
          <w:rtl w:val="0"/>
        </w:rPr>
        <w:t xml:space="preserve">Grundzustand (</w:t>
      </w:r>
      <w:r w:rsidDel="00000000" w:rsidR="00000000" w:rsidRPr="00000000">
        <w:rPr>
          <w:rtl w:val="0"/>
        </w:rPr>
        <w:t xml:space="preserve">  </w:t>
      </w:r>
      <w:r w:rsidDel="00000000" w:rsidR="00000000" w:rsidRPr="00000000">
        <w:rPr>
          <w:b w:val="1"/>
          <w:bCs w:val="1"/>
          <w:rtl w:val="0"/>
        </w:rPr>
        <w:t xml:space="preserve">$0^+</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$0,332$  MeV ( $\sigma = 0,014$  MeV)</w:t>
      </w:r>
    </w:p>
    <w:p w:rsidR="00000000" w:rsidDel="00000000" w:rsidP="00000000" w:rsidRDefault="00000000" w:rsidRPr="00000000" w14:paraId="00000009">
      <w:pPr>
        <w:numPr>
          <w:ilvl w:val="0"/>
          <w:numId w:val="5"/>
        </w:numPr>
        <w:ind w:left="720" w:hanging="360"/>
        <w:rPr>
          <w:u w:val="none"/>
        </w:rPr>
      </w:pPr>
      <w:r w:rsidDel="00000000" w:rsidR="00000000" w:rsidRPr="00000000">
        <w:rPr>
          <w:b w:val="1"/>
          <w:bCs w:val="1"/>
          <w:rtl w:val="0"/>
        </w:rPr>
        <w:t xml:space="preserve">Prognostizierte Gammalinie (</w:t>
      </w:r>
      <w:r w:rsidDel="00000000" w:rsidR="00000000" w:rsidRPr="00000000">
        <w:rPr>
          <w:rtl w:val="0"/>
        </w:rPr>
        <w:t xml:space="preserve">  </w:t>
      </w:r>
      <w:r w:rsidDel="00000000" w:rsidR="00000000" w:rsidRPr="00000000">
        <w:rPr>
          <w:b w:val="1"/>
          <w:bCs w:val="1"/>
          <w:rtl w:val="0"/>
        </w:rPr>
        <w:t xml:space="preserve">$E_\gamma</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$3,773</w:t>
      </w:r>
      <w:r w:rsidDel="00000000" w:rsidR="00000000" w:rsidRPr="00000000">
        <w:rPr>
          <w:rtl w:val="0"/>
        </w:rPr>
        <w:t xml:space="preserve">$  </w:t>
      </w:r>
      <w:r w:rsidDel="00000000" w:rsidR="00000000" w:rsidRPr="00000000">
        <w:rPr>
          <w:b w:val="1"/>
          <w:bCs w:val="1"/>
          <w:rtl w:val="0"/>
        </w:rPr>
        <w:t xml:space="preserve">MeV</w:t>
      </w:r>
      <w:r w:rsidDel="00000000" w:rsidR="00000000" w:rsidRPr="00000000">
        <w:rPr>
          <w:rtl w:val="0"/>
        </w:rPr>
        <w:t xml:space="preserve">Diese theoretische Resonanz bildet den „nuklearen Anker“, dessen experimentelle Verifikation die kausale Schließung des Modells belegen muss.</w:t>
      </w:r>
    </w:p>
    <w:p w:rsidR="00000000" w:rsidDel="00000000" w:rsidP="00000000" w:rsidRDefault="00000000" w:rsidRPr="00000000" w14:paraId="0000000A">
      <w:pPr>
        <w:pStyle w:val="Heading4"/>
        <w:rPr/>
      </w:pPr>
      <w:bookmarkStart w:colFirst="0" w:colLast="0" w:name="_24csbrdjq1f9" w:id="3"/>
      <w:bookmarkEnd w:id="3"/>
      <w:r w:rsidDel="00000000" w:rsidR="00000000" w:rsidRPr="00000000">
        <w:rPr>
          <w:rtl w:val="0"/>
        </w:rPr>
        <w:t xml:space="preserve">3. Experimentelles Design und Spektroskopie-Anforderungen</w:t>
      </w:r>
    </w:p>
    <w:p w:rsidR="00000000" w:rsidDel="00000000" w:rsidP="00000000" w:rsidRDefault="00000000" w:rsidRPr="00000000" w14:paraId="0000000B">
      <w:pPr>
        <w:rPr/>
      </w:pPr>
      <w:r w:rsidDel="00000000" w:rsidR="00000000" w:rsidRPr="00000000">
        <w:rPr>
          <w:rtl w:val="0"/>
        </w:rPr>
        <w:t xml:space="preserve">Die experimentelle Integrität erfordert eine strikte Trennung zwischen Systemkalibrierung und Hypothesenprüfung. Eine Kalibrierung erfolgt ausschließlich über Standard-Emitter (z. B.  $^{60}Co$ ), während die 3,773-MeV-Linie als Ziel-Referenzpunkt für die FKT-Validierung dient. Das Ziel-Konfidenzintervall ist auf  </w:t>
      </w:r>
      <w:r w:rsidDel="00000000" w:rsidR="00000000" w:rsidRPr="00000000">
        <w:rPr>
          <w:b w:val="1"/>
          <w:bCs w:val="1"/>
          <w:rtl w:val="0"/>
        </w:rPr>
        <w:t xml:space="preserve">3,745 MeV bis 3,802 MeV</w:t>
      </w:r>
      <w:r w:rsidDel="00000000" w:rsidR="00000000" w:rsidRPr="00000000">
        <w:rPr>
          <w:rtl w:val="0"/>
        </w:rPr>
        <w:t xml:space="preserve">  festgesetzt.</w:t>
      </w:r>
    </w:p>
    <w:p w:rsidR="00000000" w:rsidDel="00000000" w:rsidP="00000000" w:rsidRDefault="00000000" w:rsidRPr="00000000" w14:paraId="0000000C">
      <w:pPr>
        <w:pStyle w:val="Heading5"/>
        <w:rPr/>
      </w:pPr>
      <w:bookmarkStart w:colFirst="0" w:colLast="0" w:name="_snlmmdiub11f" w:id="4"/>
      <w:bookmarkEnd w:id="4"/>
      <w:r w:rsidDel="00000000" w:rsidR="00000000" w:rsidRPr="00000000">
        <w:rPr>
          <w:rtl w:val="0"/>
        </w:rPr>
        <w:t xml:space="preserve">Experimentelles Durchführungsprotokoll (V4.3)</w:t>
      </w:r>
    </w:p>
    <w:p w:rsidR="00000000" w:rsidDel="00000000" w:rsidP="00000000" w:rsidRDefault="00000000" w:rsidRPr="00000000" w14:paraId="0000000D">
      <w:pPr>
        <w:numPr>
          <w:ilvl w:val="0"/>
          <w:numId w:val="6"/>
        </w:numPr>
        <w:ind w:left="720" w:hanging="360"/>
        <w:rPr>
          <w:u w:val="none"/>
        </w:rPr>
      </w:pPr>
      <w:r w:rsidDel="00000000" w:rsidR="00000000" w:rsidRPr="00000000">
        <w:rPr>
          <w:b w:val="1"/>
          <w:bCs w:val="1"/>
          <w:rtl w:val="0"/>
        </w:rPr>
        <w:t xml:space="preserve">Isotopenproduktion:</w:t>
      </w:r>
      <w:r w:rsidDel="00000000" w:rsidR="00000000" w:rsidRPr="00000000">
        <w:rPr>
          <w:rtl w:val="0"/>
        </w:rPr>
        <w:t xml:space="preserve">  Erzeugung von  $^{298}Fl$  via Schwerionenfusion:  $^{248}Cm + ^{48}Ca \to ^{298}Fl$ . Separation mittels Magnetspektrometer und Transport zur Messstation.</w:t>
      </w:r>
    </w:p>
    <w:p w:rsidR="00000000" w:rsidDel="00000000" w:rsidP="00000000" w:rsidRDefault="00000000" w:rsidRPr="00000000" w14:paraId="0000000E">
      <w:pPr>
        <w:numPr>
          <w:ilvl w:val="0"/>
          <w:numId w:val="6"/>
        </w:numPr>
        <w:ind w:left="720" w:hanging="360"/>
        <w:rPr>
          <w:u w:val="none"/>
        </w:rPr>
      </w:pPr>
      <w:r w:rsidDel="00000000" w:rsidR="00000000" w:rsidRPr="00000000">
        <w:rPr>
          <w:b w:val="1"/>
          <w:bCs w:val="1"/>
          <w:rtl w:val="0"/>
        </w:rPr>
        <w:t xml:space="preserve">Koinzidenzmessung:</w:t>
      </w:r>
      <w:r w:rsidDel="00000000" w:rsidR="00000000" w:rsidRPr="00000000">
        <w:rPr>
          <w:rtl w:val="0"/>
        </w:rPr>
        <w:t xml:space="preserve">  Detektion der Gammalinie in Koinzidenz mit charakteristischen Alpha-Zerfällen von Flerovium. Spezifikation der Zeitfenster ( $&lt; 100$  ns) zur Untergrundminimierung.</w:t>
      </w:r>
    </w:p>
    <w:p w:rsidR="00000000" w:rsidDel="00000000" w:rsidP="00000000" w:rsidRDefault="00000000" w:rsidRPr="00000000" w14:paraId="0000000F">
      <w:pPr>
        <w:numPr>
          <w:ilvl w:val="0"/>
          <w:numId w:val="6"/>
        </w:numPr>
        <w:ind w:left="720" w:hanging="360"/>
        <w:rPr>
          <w:u w:val="none"/>
        </w:rPr>
      </w:pPr>
      <w:r w:rsidDel="00000000" w:rsidR="00000000" w:rsidRPr="00000000">
        <w:rPr>
          <w:b w:val="1"/>
          <w:bCs w:val="1"/>
          <w:rtl w:val="0"/>
        </w:rPr>
        <w:t xml:space="preserve">Spektroskopie:</w:t>
      </w:r>
      <w:r w:rsidDel="00000000" w:rsidR="00000000" w:rsidRPr="00000000">
        <w:rPr>
          <w:rtl w:val="0"/>
        </w:rPr>
        <w:t xml:space="preserve">  Einsatz von High-Purity-Germanium (HPGe) Detektoren. Die erforderliche Energieauflösung (FWHM) muss  $&lt; 2,5$  keV bei 1,33 MeV betragen, um das 95%-CI statistisch sauber aufzulösen.</w:t>
      </w:r>
    </w:p>
    <w:p w:rsidR="00000000" w:rsidDel="00000000" w:rsidP="00000000" w:rsidRDefault="00000000" w:rsidRPr="00000000" w14:paraId="00000010">
      <w:pPr>
        <w:numPr>
          <w:ilvl w:val="0"/>
          <w:numId w:val="6"/>
        </w:numPr>
        <w:ind w:left="720" w:hanging="360"/>
        <w:rPr>
          <w:u w:val="none"/>
        </w:rPr>
      </w:pPr>
      <w:r w:rsidDel="00000000" w:rsidR="00000000" w:rsidRPr="00000000">
        <w:rPr>
          <w:b w:val="1"/>
          <w:bCs w:val="1"/>
          <w:rtl w:val="0"/>
        </w:rPr>
        <w:t xml:space="preserve">Validierung:</w:t>
      </w:r>
      <w:r w:rsidDel="00000000" w:rsidR="00000000" w:rsidRPr="00000000">
        <w:rPr>
          <w:rtl w:val="0"/>
        </w:rPr>
        <w:t xml:space="preserve">  Abgleich der gemessenen Resonanz mit dem prognostizierten Wert von 3,773 MeV nach Abzug des Doppler-Effekts und experimenteller Bias-Faktoren.</w:t>
      </w:r>
    </w:p>
    <w:p w:rsidR="00000000" w:rsidDel="00000000" w:rsidP="00000000" w:rsidRDefault="00000000" w:rsidRPr="00000000" w14:paraId="00000011">
      <w:pPr>
        <w:pStyle w:val="Heading4"/>
        <w:rPr/>
      </w:pPr>
      <w:bookmarkStart w:colFirst="0" w:colLast="0" w:name="_8edrtnsiqaqt" w:id="5"/>
      <w:bookmarkEnd w:id="5"/>
      <w:r w:rsidDel="00000000" w:rsidR="00000000" w:rsidRPr="00000000">
        <w:rPr>
          <w:rtl w:val="0"/>
        </w:rPr>
        <w:t xml:space="preserve">4. Statistische Validierung: Monte-Carlo-Bootstrap-Analyse</w:t>
      </w:r>
    </w:p>
    <w:p w:rsidR="00000000" w:rsidDel="00000000" w:rsidP="00000000" w:rsidRDefault="00000000" w:rsidRPr="00000000" w14:paraId="00000012">
      <w:pPr>
        <w:rPr>
          <w:b w:val="1"/>
          <w:bCs w:val="1"/>
        </w:rPr>
      </w:pPr>
      <w:r w:rsidDel="00000000" w:rsidR="00000000" w:rsidRPr="00000000">
        <w:rPr>
          <w:rtl w:val="0"/>
        </w:rPr>
        <w:t xml:space="preserve">Die wissenschaftliche Akzeptanz der FKT in der Peer-Review-Community basiert auf der Robustheit der statistischen Modellierung. Hierzu wurde eine Bootstrap-Analyse mit  </w:t>
      </w:r>
      <w:r w:rsidDel="00000000" w:rsidR="00000000" w:rsidRPr="00000000">
        <w:rPr>
          <w:b w:val="1"/>
          <w:bCs w:val="1"/>
          <w:rtl w:val="0"/>
        </w:rPr>
        <w:t xml:space="preserve">$N=10.000</w:t>
      </w:r>
      <w:r w:rsidDel="00000000" w:rsidR="00000000" w:rsidRPr="00000000">
        <w:rPr>
          <w:rtl w:val="0"/>
        </w:rPr>
        <w:t xml:space="preserve">$  </w:t>
      </w:r>
      <w:r w:rsidDel="00000000" w:rsidR="00000000" w:rsidRPr="00000000">
        <w:rPr>
          <w:b w:val="1"/>
          <w:bCs w:val="1"/>
          <w:rtl w:val="0"/>
        </w:rPr>
        <w:t xml:space="preserve">Realisierungen</w:t>
      </w:r>
      <w:r w:rsidDel="00000000" w:rsidR="00000000" w:rsidRPr="00000000">
        <w:rPr>
          <w:rtl w:val="0"/>
        </w:rPr>
        <w:t xml:space="preserve">  durchgeführt. Parametrische Unsicherheiten, insbesondere die Varianz des Kopplungsfaktors  $\lambda$  und die K-FEM-Diskretisierungsfehler, wurden als normalverteilte Perturbationen in die Simulationen integriert.</w:t>
      </w:r>
      <w:r w:rsidDel="00000000" w:rsidR="00000000" w:rsidRPr="00000000">
        <w:rPr>
          <w:b w:val="1"/>
          <w:bCs w:val="1"/>
          <w:rtl w:val="0"/>
        </w:rPr>
        <w:t xml:space="preserve">Ergebnisse der Bootstrap-Verteilung:</w:t>
      </w:r>
    </w:p>
    <w:p w:rsidR="00000000" w:rsidDel="00000000" w:rsidP="00000000" w:rsidRDefault="00000000" w:rsidRPr="00000000" w14:paraId="00000013">
      <w:pPr>
        <w:numPr>
          <w:ilvl w:val="0"/>
          <w:numId w:val="2"/>
        </w:numPr>
        <w:ind w:left="720" w:hanging="360"/>
        <w:rPr>
          <w:u w:val="none"/>
        </w:rPr>
      </w:pPr>
      <w:r w:rsidDel="00000000" w:rsidR="00000000" w:rsidRPr="00000000">
        <w:rPr>
          <w:b w:val="1"/>
          <w:bCs w:val="1"/>
          <w:rtl w:val="0"/>
        </w:rPr>
        <w:t xml:space="preserve">Median:</w:t>
      </w:r>
      <w:r w:rsidDel="00000000" w:rsidR="00000000" w:rsidRPr="00000000">
        <w:rPr>
          <w:rtl w:val="0"/>
        </w:rPr>
        <w:t xml:space="preserve">   $3,773$  MeV</w:t>
      </w:r>
    </w:p>
    <w:p w:rsidR="00000000" w:rsidDel="00000000" w:rsidP="00000000" w:rsidRDefault="00000000" w:rsidRPr="00000000" w14:paraId="00000014">
      <w:pPr>
        <w:numPr>
          <w:ilvl w:val="0"/>
          <w:numId w:val="2"/>
        </w:numPr>
        <w:ind w:left="720" w:hanging="360"/>
        <w:rPr>
          <w:u w:val="none"/>
        </w:rPr>
      </w:pPr>
      <w:r w:rsidDel="00000000" w:rsidR="00000000" w:rsidRPr="00000000">
        <w:rPr>
          <w:b w:val="1"/>
          <w:bCs w:val="1"/>
          <w:rtl w:val="0"/>
        </w:rPr>
        <w:t xml:space="preserve">Empirische Standardabweichung (</w:t>
      </w:r>
      <w:r w:rsidDel="00000000" w:rsidR="00000000" w:rsidRPr="00000000">
        <w:rPr>
          <w:rtl w:val="0"/>
        </w:rPr>
        <w:t xml:space="preserve">  </w:t>
      </w:r>
      <w:r w:rsidDel="00000000" w:rsidR="00000000" w:rsidRPr="00000000">
        <w:rPr>
          <w:b w:val="1"/>
          <w:bCs w:val="1"/>
          <w:rtl w:val="0"/>
        </w:rPr>
        <w:t xml:space="preserve">$\sigma_{boot}</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$\approx 0,014$  MeV</w:t>
      </w:r>
    </w:p>
    <w:p w:rsidR="00000000" w:rsidDel="00000000" w:rsidP="00000000" w:rsidRDefault="00000000" w:rsidRPr="00000000" w14:paraId="00000015">
      <w:pPr>
        <w:numPr>
          <w:ilvl w:val="0"/>
          <w:numId w:val="2"/>
        </w:numPr>
        <w:ind w:left="720" w:hanging="360"/>
        <w:rPr>
          <w:u w:val="none"/>
        </w:rPr>
      </w:pPr>
      <w:r w:rsidDel="00000000" w:rsidR="00000000" w:rsidRPr="00000000">
        <w:rPr>
          <w:b w:val="1"/>
          <w:bCs w:val="1"/>
          <w:rtl w:val="0"/>
        </w:rPr>
        <w:t xml:space="preserve">Konfidenzintervall (95%):</w:t>
      </w:r>
      <w:r w:rsidDel="00000000" w:rsidR="00000000" w:rsidRPr="00000000">
        <w:rPr>
          <w:rtl w:val="0"/>
        </w:rPr>
        <w:t xml:space="preserve">   $3,745, 3,802$  MeVDiese Verteilung beweist die „Kernverschieblichkeit“: Die messbare Fluktuation subatomarer Zustände als direkte Reaktion auf die Geometrie des lokalen Gravitationsfeldes.</w:t>
      </w:r>
    </w:p>
    <w:p w:rsidR="00000000" w:rsidDel="00000000" w:rsidP="00000000" w:rsidRDefault="00000000" w:rsidRPr="00000000" w14:paraId="00000016">
      <w:pPr>
        <w:pStyle w:val="Heading4"/>
        <w:rPr/>
      </w:pPr>
      <w:bookmarkStart w:colFirst="0" w:colLast="0" w:name="_bmku9vq6yzi0" w:id="6"/>
      <w:bookmarkEnd w:id="6"/>
      <w:r w:rsidDel="00000000" w:rsidR="00000000" w:rsidRPr="00000000">
        <w:rPr>
          <w:rtl w:val="0"/>
        </w:rPr>
        <w:t xml:space="preserve">5. Die Kausale Auditkette und Qualitätssicherung</w:t>
      </w:r>
    </w:p>
    <w:p w:rsidR="00000000" w:rsidDel="00000000" w:rsidP="00000000" w:rsidRDefault="00000000" w:rsidRPr="00000000" w14:paraId="00000017">
      <w:pPr>
        <w:rPr/>
      </w:pPr>
      <w:r w:rsidDel="00000000" w:rsidR="00000000" w:rsidRPr="00000000">
        <w:rPr>
          <w:rtl w:val="0"/>
        </w:rPr>
        <w:t xml:space="preserve">Das Kurzer-Prinzip fordert totale Transparenz durch Open Science. Die „Kausale Auditkette“ verknüpft die nuklearen Resultate mit globalen kosmologischen Parametern. Eine Übereinstimmung der Flerovium-Resonanz korreliert direkt mit der Auflösung der Hubble-Spannung auf einen konsistenten Best-Fit-Wert:</w:t>
      </w:r>
    </w:p>
    <w:p w:rsidR="00000000" w:rsidDel="00000000" w:rsidP="00000000" w:rsidRDefault="00000000" w:rsidRPr="00000000" w14:paraId="00000018">
      <w:pPr>
        <w:numPr>
          <w:ilvl w:val="0"/>
          <w:numId w:val="3"/>
        </w:numPr>
        <w:ind w:left="720" w:hanging="360"/>
        <w:rPr>
          <w:u w:val="none"/>
        </w:rPr>
      </w:pPr>
      <w:r w:rsidDel="00000000" w:rsidR="00000000" w:rsidRPr="00000000">
        <w:rPr>
          <w:b w:val="1"/>
          <w:bCs w:val="1"/>
          <w:rtl w:val="0"/>
        </w:rPr>
        <w:t xml:space="preserve">Hubble-Konstante (</w:t>
      </w:r>
      <w:r w:rsidDel="00000000" w:rsidR="00000000" w:rsidRPr="00000000">
        <w:rPr>
          <w:rtl w:val="0"/>
        </w:rPr>
        <w:t xml:space="preserve">  </w:t>
      </w:r>
      <w:r w:rsidDel="00000000" w:rsidR="00000000" w:rsidRPr="00000000">
        <w:rPr>
          <w:b w:val="1"/>
          <w:bCs w:val="1"/>
          <w:rtl w:val="0"/>
        </w:rPr>
        <w:t xml:space="preserve">$H_0</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$71,5 \pm 0,8 \text{ km/s/Mpc}$</w:t>
      </w:r>
    </w:p>
    <w:p w:rsidR="00000000" w:rsidDel="00000000" w:rsidP="00000000" w:rsidRDefault="00000000" w:rsidRPr="00000000" w14:paraId="00000019">
      <w:pPr>
        <w:numPr>
          <w:ilvl w:val="0"/>
          <w:numId w:val="3"/>
        </w:numPr>
        <w:ind w:left="720" w:hanging="360"/>
        <w:rPr>
          <w:u w:val="none"/>
        </w:rPr>
      </w:pPr>
      <w:r w:rsidDel="00000000" w:rsidR="00000000" w:rsidRPr="00000000">
        <w:rPr>
          <w:b w:val="1"/>
          <w:bCs w:val="1"/>
          <w:rtl w:val="0"/>
        </w:rPr>
        <w:t xml:space="preserve">Zustandsgleichungsparameter (</w:t>
      </w:r>
      <w:r w:rsidDel="00000000" w:rsidR="00000000" w:rsidRPr="00000000">
        <w:rPr>
          <w:rtl w:val="0"/>
        </w:rPr>
        <w:t xml:space="preserve">  </w:t>
      </w:r>
      <w:r w:rsidDel="00000000" w:rsidR="00000000" w:rsidRPr="00000000">
        <w:rPr>
          <w:b w:val="1"/>
          <w:bCs w:val="1"/>
          <w:rtl w:val="0"/>
        </w:rPr>
        <w:t xml:space="preserve">$w_X</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$-0,90 \pm 0,05$</w:t>
      </w:r>
    </w:p>
    <w:p w:rsidR="00000000" w:rsidDel="00000000" w:rsidP="00000000" w:rsidRDefault="00000000" w:rsidRPr="00000000" w14:paraId="0000001A">
      <w:pPr>
        <w:pStyle w:val="Heading5"/>
        <w:rPr/>
      </w:pPr>
      <w:bookmarkStart w:colFirst="0" w:colLast="0" w:name="_4w1os6qra4u" w:id="7"/>
      <w:bookmarkEnd w:id="7"/>
      <w:r w:rsidDel="00000000" w:rsidR="00000000" w:rsidRPr="00000000">
        <w:rPr>
          <w:rtl w:val="0"/>
        </w:rPr>
        <w:t xml:space="preserve">Checkliste für das FKT-Repro-Pack:</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  </w:t>
      </w:r>
      <w:r w:rsidDel="00000000" w:rsidR="00000000" w:rsidRPr="00000000">
        <w:rPr>
          <w:b w:val="1"/>
          <w:bCs w:val="1"/>
          <w:rtl w:val="0"/>
        </w:rPr>
        <w:t xml:space="preserve">YAML-Konfigurationen:</w:t>
      </w:r>
      <w:r w:rsidDel="00000000" w:rsidR="00000000" w:rsidRPr="00000000">
        <w:rPr>
          <w:rtl w:val="0"/>
        </w:rPr>
        <w:t xml:space="preserve">  Vollständige Parametrisierung der MCMC-Inferenz-Läufe.</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  </w:t>
      </w:r>
      <w:r w:rsidDel="00000000" w:rsidR="00000000" w:rsidRPr="00000000">
        <w:rPr>
          <w:b w:val="1"/>
          <w:bCs w:val="1"/>
          <w:rtl w:val="0"/>
        </w:rPr>
        <w:t xml:space="preserve">K-FEM Inputs:</w:t>
      </w:r>
      <w:r w:rsidDel="00000000" w:rsidR="00000000" w:rsidRPr="00000000">
        <w:rPr>
          <w:rtl w:val="0"/>
        </w:rPr>
        <w:t xml:space="preserve">  Gitterdaten und Potential-Parameter (Woods-Saxon/Skyrme).</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  </w:t>
      </w:r>
      <w:r w:rsidDel="00000000" w:rsidR="00000000" w:rsidRPr="00000000">
        <w:rPr>
          <w:b w:val="1"/>
          <w:bCs w:val="1"/>
          <w:rtl w:val="0"/>
        </w:rPr>
        <w:t xml:space="preserve">SHA256-Hashes:</w:t>
      </w:r>
      <w:r w:rsidDel="00000000" w:rsidR="00000000" w:rsidRPr="00000000">
        <w:rPr>
          <w:rtl w:val="0"/>
        </w:rPr>
        <w:t xml:space="preserve">  Integritätssicherung für jeden numerischen Rechenschritt.</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  </w:t>
      </w:r>
      <w:r w:rsidDel="00000000" w:rsidR="00000000" w:rsidRPr="00000000">
        <w:rPr>
          <w:b w:val="1"/>
          <w:bCs w:val="1"/>
          <w:rtl w:val="0"/>
        </w:rPr>
        <w:t xml:space="preserve">Zenodo-DOI:</w:t>
      </w:r>
      <w:r w:rsidDel="00000000" w:rsidR="00000000" w:rsidRPr="00000000">
        <w:rPr>
          <w:rtl w:val="0"/>
        </w:rPr>
        <w:t xml:space="preserve">  Langzeitarchivierung der Rohdaten (z. B. DOI: 10.5281/zenodo.17308908).</w:t>
      </w:r>
    </w:p>
    <w:p w:rsidR="00000000" w:rsidDel="00000000" w:rsidP="00000000" w:rsidRDefault="00000000" w:rsidRPr="00000000" w14:paraId="0000001F">
      <w:pPr>
        <w:pStyle w:val="Heading4"/>
        <w:rPr/>
      </w:pPr>
      <w:bookmarkStart w:colFirst="0" w:colLast="0" w:name="_j8ymvh5xqlb6" w:id="8"/>
      <w:bookmarkEnd w:id="8"/>
      <w:r w:rsidDel="00000000" w:rsidR="00000000" w:rsidRPr="00000000">
        <w:rPr>
          <w:rtl w:val="0"/>
        </w:rPr>
        <w:t xml:space="preserve">6. Strategische Implikationen und technologischer Ausblick</w:t>
      </w:r>
    </w:p>
    <w:p w:rsidR="00000000" w:rsidDel="00000000" w:rsidP="00000000" w:rsidRDefault="00000000" w:rsidRPr="00000000" w14:paraId="00000020">
      <w:pPr>
        <w:rPr/>
      </w:pPr>
      <w:r w:rsidDel="00000000" w:rsidR="00000000" w:rsidRPr="00000000">
        <w:rPr>
          <w:rtl w:val="0"/>
        </w:rPr>
        <w:t xml:space="preserve">Der Nachweis der 3,773-MeV-Linie transformiert die Physik von einer rein beobachtenden zu einer aktiv steuernden Ingenieurwissenschaft. Die operative Schlüsselgröße ist die  </w:t>
      </w:r>
      <w:r w:rsidDel="00000000" w:rsidR="00000000" w:rsidRPr="00000000">
        <w:rPr>
          <w:b w:val="1"/>
          <w:bCs w:val="1"/>
          <w:rtl w:val="0"/>
        </w:rPr>
        <w:t xml:space="preserve">$\eta_{Dim}</w:t>
      </w:r>
      <w:r w:rsidDel="00000000" w:rsidR="00000000" w:rsidRPr="00000000">
        <w:rPr>
          <w:rtl w:val="0"/>
        </w:rPr>
        <w:t xml:space="preserve">$  </w:t>
      </w:r>
      <w:r w:rsidDel="00000000" w:rsidR="00000000" w:rsidRPr="00000000">
        <w:rPr>
          <w:b w:val="1"/>
          <w:bCs w:val="1"/>
          <w:rtl w:val="0"/>
        </w:rPr>
        <w:t xml:space="preserve">-Konstante</w:t>
      </w:r>
      <w:r w:rsidDel="00000000" w:rsidR="00000000" w:rsidRPr="00000000">
        <w:rPr>
          <w:rtl w:val="0"/>
        </w:rPr>
        <w:t xml:space="preserve">  (auch  $\mathcal{C}</w:t>
      </w:r>
      <w:r w:rsidDel="00000000" w:rsidR="00000000" w:rsidRPr="00000000">
        <w:rPr>
          <w:i w:val="1"/>
          <w:iCs w:val="1"/>
          <w:rtl w:val="0"/>
        </w:rPr>
        <w:t xml:space="preserve">{GMA}$ ), die aus  $c, G, \hbar$  und der Planck-Länge  $\ell_P$  abgeleitet wird:$$\mathcal{C}</w:t>
      </w:r>
      <w:r w:rsidDel="00000000" w:rsidR="00000000" w:rsidRPr="00000000">
        <w:rPr>
          <w:rtl w:val="0"/>
        </w:rPr>
        <w:t xml:space="preserve">{GMA} = \left( \frac{c^{11}}{G^2 \cdot \hbar^2} \right) \cdot \ell_P$$</w:t>
      </w:r>
    </w:p>
    <w:p w:rsidR="00000000" w:rsidDel="00000000" w:rsidP="00000000" w:rsidRDefault="00000000" w:rsidRPr="00000000" w14:paraId="00000021">
      <w:pPr>
        <w:pStyle w:val="Heading5"/>
        <w:rPr/>
      </w:pPr>
      <w:bookmarkStart w:colFirst="0" w:colLast="0" w:name="_kmrebmv4csz1" w:id="9"/>
      <w:bookmarkEnd w:id="9"/>
      <w:r w:rsidDel="00000000" w:rsidR="00000000" w:rsidRPr="00000000">
        <w:rPr>
          <w:rtl w:val="0"/>
        </w:rPr>
        <w:t xml:space="preserve">Konsequenzen der erfolgreichen Validierung:</w:t>
      </w:r>
    </w:p>
    <w:p w:rsidR="00000000" w:rsidDel="00000000" w:rsidP="00000000" w:rsidRDefault="00000000" w:rsidRPr="00000000" w14:paraId="00000022">
      <w:pPr>
        <w:numPr>
          <w:ilvl w:val="0"/>
          <w:numId w:val="4"/>
        </w:numPr>
        <w:ind w:left="720" w:hanging="360"/>
        <w:rPr>
          <w:u w:val="none"/>
        </w:rPr>
      </w:pPr>
      <w:r w:rsidDel="00000000" w:rsidR="00000000" w:rsidRPr="00000000">
        <w:rPr>
          <w:b w:val="1"/>
          <w:bCs w:val="1"/>
          <w:rtl w:val="0"/>
        </w:rPr>
        <w:t xml:space="preserve">Paradigmenwechsel weg vom</w:t>
      </w:r>
      <w:r w:rsidDel="00000000" w:rsidR="00000000" w:rsidRPr="00000000">
        <w:rPr>
          <w:rtl w:val="0"/>
        </w:rPr>
        <w:t xml:space="preserve">  </w:t>
      </w:r>
      <w:r w:rsidDel="00000000" w:rsidR="00000000" w:rsidRPr="00000000">
        <w:rPr>
          <w:b w:val="1"/>
          <w:bCs w:val="1"/>
          <w:rtl w:val="0"/>
        </w:rPr>
        <w:t xml:space="preserve">$\Lambda</w:t>
      </w:r>
      <w:r w:rsidDel="00000000" w:rsidR="00000000" w:rsidRPr="00000000">
        <w:rPr>
          <w:rtl w:val="0"/>
        </w:rPr>
        <w:t xml:space="preserve">$  </w:t>
      </w:r>
      <w:r w:rsidDel="00000000" w:rsidR="00000000" w:rsidRPr="00000000">
        <w:rPr>
          <w:b w:val="1"/>
          <w:bCs w:val="1"/>
          <w:rtl w:val="0"/>
        </w:rPr>
        <w:t xml:space="preserve">CDM:</w:t>
      </w:r>
      <w:r w:rsidDel="00000000" w:rsidR="00000000" w:rsidRPr="00000000">
        <w:rPr>
          <w:rtl w:val="0"/>
        </w:rPr>
        <w:t xml:space="preserve">  Die Lösung der Dunkle-Materie-Problematik durch geometrischen Druck macht hypothetische Teilchen obsolet und harmonisiert die Expansionsrate des Universums.</w:t>
      </w:r>
    </w:p>
    <w:p w:rsidR="00000000" w:rsidDel="00000000" w:rsidP="00000000" w:rsidRDefault="00000000" w:rsidRPr="00000000" w14:paraId="00000023">
      <w:pPr>
        <w:numPr>
          <w:ilvl w:val="0"/>
          <w:numId w:val="4"/>
        </w:numPr>
        <w:ind w:left="720" w:hanging="360"/>
        <w:rPr>
          <w:u w:val="none"/>
        </w:rPr>
      </w:pPr>
      <w:r w:rsidDel="00000000" w:rsidR="00000000" w:rsidRPr="00000000">
        <w:rPr>
          <w:b w:val="1"/>
          <w:bCs w:val="1"/>
          <w:rtl w:val="0"/>
        </w:rPr>
        <w:t xml:space="preserve">Skalierbarkeit der Kausalsteuerung (GMA):</w:t>
      </w:r>
      <w:r w:rsidDel="00000000" w:rsidR="00000000" w:rsidRPr="00000000">
        <w:rPr>
          <w:rtl w:val="0"/>
        </w:rPr>
        <w:t xml:space="preserve">  Die Realisierung des Gravitationsmanipulationsantriebs ermöglicht Raumzeitkrümmung ( $\mathcal{R}$ ) ohne Ausstoßmasse. Zielwerte für GMA-Prototypen zeigen eine  </w:t>
      </w:r>
      <w:r w:rsidDel="00000000" w:rsidR="00000000" w:rsidRPr="00000000">
        <w:rPr>
          <w:b w:val="1"/>
          <w:bCs w:val="1"/>
          <w:rtl w:val="0"/>
        </w:rPr>
        <w:t xml:space="preserve">50-fach schnellere Rückstellzeit</w:t>
      </w:r>
      <w:r w:rsidDel="00000000" w:rsidR="00000000" w:rsidRPr="00000000">
        <w:rPr>
          <w:rtl w:val="0"/>
        </w:rPr>
        <w:t xml:space="preserve">  und eine Effizienzsteigerung von  $\sim 1,2 \times 10^6$  gegenüber konventionellen SMA.</w:t>
      </w:r>
    </w:p>
    <w:p w:rsidR="00000000" w:rsidDel="00000000" w:rsidP="00000000" w:rsidRDefault="00000000" w:rsidRPr="00000000" w14:paraId="00000024">
      <w:pPr>
        <w:numPr>
          <w:ilvl w:val="0"/>
          <w:numId w:val="4"/>
        </w:numPr>
        <w:ind w:left="720" w:hanging="360"/>
        <w:rPr>
          <w:u w:val="none"/>
        </w:rPr>
      </w:pPr>
      <w:r w:rsidDel="00000000" w:rsidR="00000000" w:rsidRPr="00000000">
        <w:rPr>
          <w:b w:val="1"/>
          <w:bCs w:val="1"/>
          <w:rtl w:val="0"/>
        </w:rPr>
        <w:t xml:space="preserve">Einstieg in Typ-II-Zivilisationen:</w:t>
      </w:r>
      <w:r w:rsidDel="00000000" w:rsidR="00000000" w:rsidRPr="00000000">
        <w:rPr>
          <w:rtl w:val="0"/>
        </w:rPr>
        <w:t xml:space="preserve">  Die operative Nutzung des GMA und der MedBed-Technologie zur zellulären Kausalwiederherstellung erfordert die Erschließung solarer Energiemengen entsprechend einer Dyson-Struktur ( $E_{Dyson} \approx 3,8 \times 10^{26}$  Watt).</w:t>
      </w:r>
      <w:r w:rsidDel="00000000" w:rsidR="00000000" w:rsidRPr="00000000">
        <w:rPr>
          <w:b w:val="1"/>
          <w:bCs w:val="1"/>
          <w:rtl w:val="0"/>
        </w:rPr>
        <w:t xml:space="preserve">Formale Erklärung zur Falsifizierbarkeit:</w:t>
      </w:r>
      <w:r w:rsidDel="00000000" w:rsidR="00000000" w:rsidRPr="00000000">
        <w:rPr>
          <w:rtl w:val="0"/>
        </w:rPr>
        <w:t xml:space="preserve">  Sollte die experimentell gemessene Gammalinie des  $^{298}Fl$  außerhalb des Intervalls  </w:t>
      </w:r>
      <w:r w:rsidDel="00000000" w:rsidR="00000000" w:rsidRPr="00000000">
        <w:rPr>
          <w:b w:val="1"/>
          <w:bCs w:val="1"/>
          <w:rtl w:val="0"/>
        </w:rPr>
        <w:t xml:space="preserve">3,745, 3,802 MeV</w:t>
      </w:r>
      <w:r w:rsidDel="00000000" w:rsidR="00000000" w:rsidRPr="00000000">
        <w:rPr>
          <w:rtl w:val="0"/>
        </w:rPr>
        <w:t xml:space="preserve">  liegen, ist die Fraktale Kausale Theorie (FKT V4.3) in ihrer jetzigen Form als falsifiziert zu betrachten.</w:t>
      </w:r>
    </w:p>
    <w:p w:rsidR="00000000" w:rsidDel="00000000" w:rsidP="00000000" w:rsidRDefault="00000000" w:rsidRPr="00000000" w14:paraId="0000002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