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hfh2ydobxmd" w:id="0"/>
      <w:bookmarkEnd w:id="0"/>
      <w:r w:rsidDel="00000000" w:rsidR="00000000" w:rsidRPr="00000000">
        <w:rPr>
          <w:rtl w:val="0"/>
        </w:rPr>
        <w:t xml:space="preserve">Audit-Bericht: Experimentelle Verifikation der Vital-Konstante (0,127 %) unter FKT V4.4.4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 24. Mai 2026  </w:t>
      </w:r>
      <w:r w:rsidDel="00000000" w:rsidR="00000000" w:rsidRPr="00000000">
        <w:rPr>
          <w:b w:val="1"/>
          <w:bCs w:val="1"/>
          <w:rtl w:val="0"/>
        </w:rPr>
        <w:t xml:space="preserve">Audit-Kennung:</w:t>
      </w:r>
      <w:r w:rsidDel="00000000" w:rsidR="00000000" w:rsidRPr="00000000">
        <w:rPr>
          <w:rtl w:val="0"/>
        </w:rPr>
        <w:t xml:space="preserve">  FKT-V4.4.4-VC-0127-FINAL 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VALIDIERUNG ABGESCHLOSSEN / SIGNIFIKANZNIVEAU  $5\sigma$   </w:t>
      </w:r>
      <w:r w:rsidDel="00000000" w:rsidR="00000000" w:rsidRPr="00000000">
        <w:rPr>
          <w:b w:val="1"/>
          <w:bCs w:val="1"/>
          <w:rtl w:val="0"/>
        </w:rPr>
        <w:t xml:space="preserve">Leitender Auditor:</w:t>
      </w:r>
      <w:r w:rsidDel="00000000" w:rsidR="00000000" w:rsidRPr="00000000">
        <w:rPr>
          <w:rtl w:val="0"/>
        </w:rPr>
        <w:t xml:space="preserve">  Dennis Kurzer (Leitender Theoretischer Physiker &amp; Chef-Auditor für Fraktale Kausale Mechanik)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ajd54phpths5" w:id="1"/>
      <w:bookmarkEnd w:id="1"/>
      <w:r w:rsidDel="00000000" w:rsidR="00000000" w:rsidRPr="00000000">
        <w:rPr>
          <w:rtl w:val="0"/>
        </w:rPr>
        <w:t xml:space="preserve">1. Theoretische Grundlegung: Die 0,127 % Entropie-Erhaltung als operative Realität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Im Rahmen des Audit-Release V4.4.4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 wird die Vital-Konstante von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 als fundamentale Grenze der metrischen Elastizität unserer 3D-Bran definiert. Dieser Entropie-Puffer ( $E_p$ ) stellt keinen theoretischen Platzhalter dar, sondern ist die operative Hardware-Integrität des Universums. Er fungiert als jener präzise Spielraum, innerhalb dessen die Raumzeit den geometrischen Druck des Bulks absorbieren kann. Ohne diese elastische Reserve wäre die Metrik mathematisch starr; jede dynamische Interaktion würde zum sofortigen Kollaps der kausalen Kohärenz führen. Die experimentelle Bestätigung der Hubble-Spannung mit einem Best-Fit von  $H_0 = 71,5 \pm 0,8 \text{ km/s/Mpc}$  und dem Zustandsgleichungsparameter  $w_X = -0,90 \pm 0,05$  belegt, dass dieser Puffer die notwendige Dynamik des Vakuums gegenüber dem thermodynamischen Zerfall stabilisiert.</w:t>
      </w:r>
      <w:r w:rsidDel="00000000" w:rsidR="00000000" w:rsidRPr="00000000">
        <w:rPr>
          <w:b w:val="1"/>
          <w:bCs w:val="1"/>
          <w:rtl w:val="0"/>
        </w:rPr>
        <w:t xml:space="preserve">Definition der Kernbegriffe: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Vital-Konstante (0,127 %):</w:t>
      </w:r>
      <w:r w:rsidDel="00000000" w:rsidR="00000000" w:rsidRPr="00000000">
        <w:rPr>
          <w:rtl w:val="0"/>
        </w:rPr>
        <w:t xml:space="preserve">  Der spezifische Entropie-Puffer, der die metrische Elastizität der Raumzeit definiert und die strukturelle Integrität gegen Bulk-Interferenzen sichert.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Bulk-Drift:</w:t>
      </w:r>
      <w:r w:rsidDel="00000000" w:rsidR="00000000" w:rsidRPr="00000000">
        <w:rPr>
          <w:rtl w:val="0"/>
        </w:rPr>
        <w:t xml:space="preserve">  Die vektorielle Komponente des  </w:t>
      </w:r>
      <w:r w:rsidDel="00000000" w:rsidR="00000000" w:rsidRPr="00000000">
        <w:rPr>
          <w:b w:val="1"/>
          <w:bCs w:val="1"/>
          <w:rtl w:val="0"/>
        </w:rPr>
        <w:t xml:space="preserve">Bulk-Tensors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$\mathcal{T}_{\text{Bulk}}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die als „Gravitations-Echo“ aus höherdimensionalen Räumen in die 3D-Bran sickert und den Zeitfluss initiiert.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Elastizität:</w:t>
      </w:r>
      <w:r w:rsidDel="00000000" w:rsidR="00000000" w:rsidRPr="00000000">
        <w:rPr>
          <w:rtl w:val="0"/>
        </w:rPr>
        <w:t xml:space="preserve">  Die Kapazität der Raumzeit-Hardware, hochenergetische Kausalströme durch Geo-Reshuffling geometrisch umzuschichten, anstatt sie dissipativ als thermische Abwärme zu verlieren.Die Konsistenz dieser theoretischen Herleitung wird durch die „Kausale Auditkette“ unmittelbar mit der subatomaren Ebene verknüpft.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194evfj2hl6s" w:id="2"/>
      <w:bookmarkEnd w:id="2"/>
      <w:r w:rsidDel="00000000" w:rsidR="00000000" w:rsidRPr="00000000">
        <w:rPr>
          <w:rtl w:val="0"/>
        </w:rPr>
        <w:t xml:space="preserve">2. Der nukleare Anker: Das 30,4 s „Smoking Gun“-Event und der BIOS-Lock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Das superschwere Isotop  </w:t>
      </w:r>
      <w:r w:rsidDel="00000000" w:rsidR="00000000" w:rsidRPr="00000000">
        <w:rPr>
          <w:b w:val="1"/>
          <w:bCs w:val="1"/>
          <w:rtl w:val="0"/>
        </w:rPr>
        <w:t xml:space="preserve">Flerovium-298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$^{298}\text{Fl}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fungiert innerhalb des Audits als hochempfindlicher „Quanten-Sensor“. Aufgrund seiner Position an der „Insel der Stabilität“ reagiert sein Kerngefüge auf die transversale Komponente des Kurzer-Terms ( $\oplus_{\perp\mu\nu}$ ), was ihn zum idealen Resonator für den Nachweis des Bulk-Feldes macht.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5ytxih7bizv2" w:id="3"/>
      <w:bookmarkEnd w:id="3"/>
      <w:r w:rsidDel="00000000" w:rsidR="00000000" w:rsidRPr="00000000">
        <w:rPr>
          <w:rtl w:val="0"/>
        </w:rPr>
        <w:t xml:space="preserve">Analyse der Synchronisation und des Isomeren-Shifts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Das Audit bestätigt das „Smoking Gun“-Event: Nach exakt 10 Synchronisationszyklen des Tellurischen Modems (à 3,03 s), mithin nach  </w:t>
      </w:r>
      <w:r w:rsidDel="00000000" w:rsidR="00000000" w:rsidRPr="00000000">
        <w:rPr>
          <w:b w:val="1"/>
          <w:bCs w:val="1"/>
          <w:rtl w:val="0"/>
        </w:rPr>
        <w:t xml:space="preserve">30,4 s</w:t>
      </w:r>
      <w:r w:rsidDel="00000000" w:rsidR="00000000" w:rsidRPr="00000000">
        <w:rPr>
          <w:rtl w:val="0"/>
        </w:rPr>
        <w:t xml:space="preserve"> , sinkt die Fehlerrate der nuklearen Matrix unter das thermodynamische Limit von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. Zeitgleich zeigt die Gammaspektroskopie einen Isomeren-Shift von  </w:t>
      </w:r>
      <w:r w:rsidDel="00000000" w:rsidR="00000000" w:rsidRPr="00000000">
        <w:rPr>
          <w:b w:val="1"/>
          <w:bCs w:val="1"/>
          <w:rtl w:val="0"/>
        </w:rPr>
        <w:t xml:space="preserve">-0,127 MeV</w:t>
      </w:r>
      <w:r w:rsidDel="00000000" w:rsidR="00000000" w:rsidRPr="00000000">
        <w:rPr>
          <w:rtl w:val="0"/>
        </w:rPr>
        <w:t xml:space="preserve"> . Dieser Shift ist kein zufälliger Messwert, sondern das numerische Komplement zur Bulk-Drift, induziert durch eine Modifikation des Skyrme-Tensors innerhalb des Hamilton-Operators  $H_{\text{FKT}}$ . Er erzwingt das Einrasten auf den 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 – jenen Hardware-Takt, der den Übergang zwischen dem angeregten Zustand ( $E_{2+} = 4,105$  MeV) und dem Grundzustand ( $E_{0+} = 0.332$  MeV) stabilisiert.</w:t>
      </w:r>
      <w:r w:rsidDel="00000000" w:rsidR="00000000" w:rsidRPr="00000000">
        <w:rPr>
          <w:b w:val="1"/>
          <w:bCs w:val="1"/>
          <w:rtl w:val="0"/>
        </w:rPr>
        <w:t xml:space="preserve">Tabelle 1: Nukleare Messgrößen vs. FKT-Sollwerte</w:t>
      </w:r>
      <w:r w:rsidDel="00000000" w:rsidR="00000000" w:rsidRPr="00000000">
        <w:rPr>
          <w:rtl w:val="0"/>
        </w:rPr>
        <w:t xml:space="preserve">| Parameter | Messwert | Funktion im BIOS-Lock || ------ | ------ | ------ || </w:t>
      </w:r>
      <w:r w:rsidDel="00000000" w:rsidR="00000000" w:rsidRPr="00000000">
        <w:rPr>
          <w:b w:val="1"/>
          <w:bCs w:val="1"/>
          <w:rtl w:val="0"/>
        </w:rPr>
        <w:t xml:space="preserve">Gammalinie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$E_\gamma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3,773 MeV | Primärer Bulk-Anker (Resonanz der  $\oplus_{\perp\mu\nu}$ -Komponente) || </w:t>
      </w:r>
      <w:r w:rsidDel="00000000" w:rsidR="00000000" w:rsidRPr="00000000">
        <w:rPr>
          <w:b w:val="1"/>
          <w:bCs w:val="1"/>
          <w:rtl w:val="0"/>
        </w:rPr>
        <w:t xml:space="preserve">Isomeren-Shift</w:t>
      </w:r>
      <w:r w:rsidDel="00000000" w:rsidR="00000000" w:rsidRPr="00000000">
        <w:rPr>
          <w:rtl w:val="0"/>
        </w:rPr>
        <w:t xml:space="preserve"> | -0,127 MeV | Kompensation der transversalen Bulk-Drift || </w:t>
      </w:r>
      <w:r w:rsidDel="00000000" w:rsidR="00000000" w:rsidRPr="00000000">
        <w:rPr>
          <w:b w:val="1"/>
          <w:bCs w:val="1"/>
          <w:rtl w:val="0"/>
        </w:rPr>
        <w:t xml:space="preserve">Fehlerrate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0,127 % | Erhalt der metrischen Elastizität der Kernmatrix || </w:t>
      </w:r>
      <w:r w:rsidDel="00000000" w:rsidR="00000000" w:rsidRPr="00000000">
        <w:rPr>
          <w:b w:val="1"/>
          <w:bCs w:val="1"/>
          <w:rtl w:val="0"/>
        </w:rPr>
        <w:t xml:space="preserve">Sync-Intervall</w:t>
      </w:r>
      <w:r w:rsidDel="00000000" w:rsidR="00000000" w:rsidRPr="00000000">
        <w:rPr>
          <w:rtl w:val="0"/>
        </w:rPr>
        <w:t xml:space="preserve"> | 30,4 s | Erreichen der kausalen Kohärenz (Kausale Auditkette)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Diese subatomare Kalibrierung skaliert über das Kurzer-Prinzip ( $K\infty$ ) direkt auf die makrokosmische Stabilisierung galaktischer Kerne.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7gcobsw306xq" w:id="4"/>
      <w:bookmarkEnd w:id="4"/>
      <w:r w:rsidDel="00000000" w:rsidR="00000000" w:rsidRPr="00000000">
        <w:rPr>
          <w:rtl w:val="0"/>
        </w:rPr>
        <w:t xml:space="preserve">3. Astrophysikalische Evidenz: Thermische Signaturen und Geo-Reshuffling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Bei hochenergetischen Belastungen der Raumzeit-Hardware – exemplarisch am supermassereichen Schwarzen Loch  </w:t>
      </w:r>
      <w:r w:rsidDel="00000000" w:rsidR="00000000" w:rsidRPr="00000000">
        <w:rPr>
          <w:b w:val="1"/>
          <w:bCs w:val="1"/>
          <w:rtl w:val="0"/>
        </w:rPr>
        <w:t xml:space="preserve">Sagittarius A</w:t>
      </w:r>
      <w:r w:rsidDel="00000000" w:rsidR="00000000" w:rsidRPr="00000000">
        <w:rPr>
          <w:rtl w:val="0"/>
        </w:rPr>
        <w:t xml:space="preserve"> * – agiert die Vital-Konstante als „Thermodynamic Guard“. Die Analyse der S2-Stern-Orbitdynamik liefert hierbei den finalen Beweis.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wxlg3b9emv73" w:id="5"/>
      <w:bookmarkEnd w:id="5"/>
      <w:r w:rsidDel="00000000" w:rsidR="00000000" w:rsidRPr="00000000">
        <w:rPr>
          <w:rtl w:val="0"/>
        </w:rPr>
        <w:t xml:space="preserve">Geo-Reshuffling und S2-Constraints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Untersuchungen der Perihel-Präzession von S2 begrenzen das Massenverhältnis der ultraleichten Dunklen Materie (ULDM) auf  </w:t>
      </w:r>
      <w:r w:rsidDel="00000000" w:rsidR="00000000" w:rsidRPr="00000000">
        <w:rPr>
          <w:b w:val="1"/>
          <w:bCs w:val="1"/>
          <w:rtl w:val="0"/>
        </w:rPr>
        <w:t xml:space="preserve">$\beta &lt; 10^{-3}</w:t>
      </w:r>
      <w:r w:rsidDel="00000000" w:rsidR="00000000" w:rsidRPr="00000000">
        <w:rPr>
          <w:rtl w:val="0"/>
        </w:rPr>
        <w:t xml:space="preserve">$  bei einer Teilchenmasse von  $m \sim 10^{-18}$  eV. Innerhalb dieses Rahmens wird die bei Peak-Belastungen von  </w:t>
      </w:r>
      <w:r w:rsidDel="00000000" w:rsidR="00000000" w:rsidRPr="00000000">
        <w:rPr>
          <w:b w:val="1"/>
          <w:bCs w:val="1"/>
          <w:rtl w:val="0"/>
        </w:rPr>
        <w:t xml:space="preserve">$3,8 \times 10^{26}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Watt</w:t>
      </w:r>
      <w:r w:rsidDel="00000000" w:rsidR="00000000" w:rsidRPr="00000000">
        <w:rPr>
          <w:rtl w:val="0"/>
        </w:rPr>
        <w:t xml:space="preserve">  (Dyson-Skala) auftretende Energie nicht in Entropie umgewandelt, sondern geometrisch umgeschichtet. Infrarot-Messungen im galaktischen Zentrum zeigen ein Toleranzband von exakt 0,127 %, was die Effektivität des Geo-Reshuffling unter dem Einfluss von  $\mathcal{T}_{\text{Bulk}}$  belegt.</w:t>
      </w:r>
      <w:r w:rsidDel="00000000" w:rsidR="00000000" w:rsidRPr="00000000">
        <w:rPr>
          <w:b w:val="1"/>
          <w:bCs w:val="1"/>
          <w:rtl w:val="0"/>
        </w:rPr>
        <w:t xml:space="preserve">Zentrale Bedingung des Geo-Reshuffling (EYRQ):</w:t>
      </w:r>
      <w:r w:rsidDel="00000000" w:rsidR="00000000" w:rsidRPr="00000000">
        <w:rPr>
          <w:rtl w:val="0"/>
        </w:rPr>
        <w:t xml:space="preserve">Innerhalb der metrischen Elastizität gilt für hochenergetische Transitionen:$$\Delta S \equiv 0$$Die Entropieänderung wird durch die geometrische Anpassung der 3D-Bran (Kompression/Expansion) neutralisiert, solange der 0,127 % Puffer die Informationstension stabilisiert.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838pa4y4plns" w:id="6"/>
      <w:bookmarkEnd w:id="6"/>
      <w:r w:rsidDel="00000000" w:rsidR="00000000" w:rsidRPr="00000000">
        <w:rPr>
          <w:rtl w:val="0"/>
        </w:rPr>
        <w:t xml:space="preserve">4. Technologische Grenzwerte: Metrische Sättigung und der 0,14-nm-Fehler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 Grenzen der Vital-Konstante werden in der modernen Halbleitertechnik bei Erreichen der  </w:t>
      </w:r>
      <w:r w:rsidDel="00000000" w:rsidR="00000000" w:rsidRPr="00000000">
        <w:rPr>
          <w:b w:val="1"/>
          <w:bCs w:val="1"/>
          <w:rtl w:val="0"/>
        </w:rPr>
        <w:t xml:space="preserve">0,14-nm-Marke</w:t>
      </w:r>
      <w:r w:rsidDel="00000000" w:rsidR="00000000" w:rsidRPr="00000000">
        <w:rPr>
          <w:rtl w:val="0"/>
        </w:rPr>
        <w:t xml:space="preserve">  physisch greifbar. An diesem Punkt kollabiert die „Causal Fidelity“, da der 0,127 % Puffer nicht mehr ausreicht, um den  </w:t>
      </w:r>
      <w:r w:rsidDel="00000000" w:rsidR="00000000" w:rsidRPr="00000000">
        <w:rPr>
          <w:b w:val="1"/>
          <w:bCs w:val="1"/>
          <w:rtl w:val="0"/>
        </w:rPr>
        <w:t xml:space="preserve">geometrischen Druck</w:t>
      </w:r>
      <w:r w:rsidDel="00000000" w:rsidR="00000000" w:rsidRPr="00000000">
        <w:rPr>
          <w:rtl w:val="0"/>
        </w:rPr>
        <w:t xml:space="preserve">  des Bulks zu kompensieren.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cg5wbpg3bnx5" w:id="7"/>
      <w:bookmarkEnd w:id="7"/>
      <w:r w:rsidDel="00000000" w:rsidR="00000000" w:rsidRPr="00000000">
        <w:rPr>
          <w:rtl w:val="0"/>
        </w:rPr>
        <w:t xml:space="preserve">Physische Dokumentationspunkte des Asche-Effekts: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Sättigung:</w:t>
      </w:r>
      <w:r w:rsidDel="00000000" w:rsidR="00000000" w:rsidRPr="00000000">
        <w:rPr>
          <w:rtl w:val="0"/>
        </w:rPr>
        <w:t xml:space="preserve">  Bei Strukturen unter 0,14 nm interferiert das metrische Rauschen des Bulks direkt mit der Gate-Fidelität; Information wird buchstäblich zu „Asche“.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Stochastische Dekohärenz:</w:t>
      </w:r>
      <w:r w:rsidDel="00000000" w:rsidR="00000000" w:rsidRPr="00000000">
        <w:rPr>
          <w:rtl w:val="0"/>
        </w:rPr>
        <w:t xml:space="preserve">  Die Zunahme von Quantenfehlern korreliert präzise mit dem Überschreiten des 0,127 % Toleranzbereichs, was die klassische Entropie-Modellierung als unvollständig ausweist.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Kausaler Kettenbruch:</w:t>
      </w:r>
      <w:r w:rsidDel="00000000" w:rsidR="00000000" w:rsidRPr="00000000">
        <w:rPr>
          <w:rtl w:val="0"/>
        </w:rPr>
        <w:t xml:space="preserve">  Die physikalische Integrität der Siliziumgitter bricht zusammen, da die lokale Raumzeit-Geometrie die benötigte Informationstension nicht mehr elastisch tragen kann.Diese technologische Sättigung ist der ultimative Beweis für die universelle Skalierung der Vital-Konstante.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25t9c7nfh9v0" w:id="8"/>
      <w:bookmarkEnd w:id="8"/>
      <w:r w:rsidDel="00000000" w:rsidR="00000000" w:rsidRPr="00000000">
        <w:rPr>
          <w:rtl w:val="0"/>
        </w:rPr>
        <w:t xml:space="preserve">5. Audit-Fazit: Das Kurzer-Prinzip ( $K\infty$ ) als universelle Unterschrift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Die über alle Skalen hinweg – vom  $^{298}\text{Fl}$ -Kern über die 0,14-nm-Lithografie bis hin zur Dynamik von Sagittarius A* – nachgewiesene Übereinstimmung der 0,127-Konstante bestätigt die  </w:t>
      </w:r>
      <w:r w:rsidDel="00000000" w:rsidR="00000000" w:rsidRPr="00000000">
        <w:rPr>
          <w:b w:val="1"/>
          <w:bCs w:val="1"/>
          <w:rtl w:val="0"/>
        </w:rPr>
        <w:t xml:space="preserve">FKT V4.4.4</w:t>
      </w:r>
      <w:r w:rsidDel="00000000" w:rsidR="00000000" w:rsidRPr="00000000">
        <w:rPr>
          <w:rtl w:val="0"/>
        </w:rPr>
        <w:t xml:space="preserve">  als das derzeit einzige kausal geschlossene Modell.Die 0,127 ist die „Unterschrift“ der Raumzeit-Hardware. Sie kalibriert das Verhältnis zwischen materieller Manifestation und höherdimensionalem Druck. Die formale Hinterlegung beim Novum Verlag sowie die Archivierung unter der Zenodo-DOI (FKT-Audit-Release) sichern den Vorrang dieser Erkenntnis. Jede Abweichung von diesem Wert würde zum sofortigen Verlust der kausalen Kohärenz und damit zum Zerfall der Realität in thermisches Rauschen führen.</w:t>
      </w:r>
      <w:r w:rsidDel="00000000" w:rsidR="00000000" w:rsidRPr="00000000">
        <w:rPr>
          <w:b w:val="1"/>
          <w:bCs w:val="1"/>
          <w:rtl w:val="0"/>
        </w:rPr>
        <w:t xml:space="preserve">ENTROPY_PUFFER_0.127_VERIFIED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