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ui7v9wk32y1" w:id="0"/>
      <w:bookmarkEnd w:id="0"/>
      <w:r w:rsidDel="00000000" w:rsidR="00000000" w:rsidRPr="00000000">
        <w:rPr>
          <w:rtl w:val="0"/>
        </w:rPr>
        <w:t xml:space="preserve">Audit-Bericht: Validierung des 7,8-Sigma „Goldstandard“-Resultats der FKT-Inferenz V4.4.4</w:t>
      </w:r>
    </w:p>
    <w:p w:rsidR="00000000" w:rsidDel="00000000" w:rsidP="00000000" w:rsidRDefault="00000000" w:rsidRPr="00000000" w14:paraId="00000002">
      <w:pPr>
        <w:pStyle w:val="Heading4"/>
        <w:rPr/>
      </w:pPr>
      <w:bookmarkStart w:colFirst="0" w:colLast="0" w:name="_ufk1z2urbqgw" w:id="1"/>
      <w:bookmarkEnd w:id="1"/>
      <w:r w:rsidDel="00000000" w:rsidR="00000000" w:rsidRPr="00000000">
        <w:rPr>
          <w:rtl w:val="0"/>
        </w:rPr>
        <w:t xml:space="preserve">1. Exekutive Einordnung: Der Meilenstein der „Executable Truth“</w:t>
      </w:r>
    </w:p>
    <w:p w:rsidR="00000000" w:rsidDel="00000000" w:rsidP="00000000" w:rsidRDefault="00000000" w:rsidRPr="00000000" w14:paraId="00000003">
      <w:pPr>
        <w:rPr/>
      </w:pPr>
      <w:r w:rsidDel="00000000" w:rsidR="00000000" w:rsidRPr="00000000">
        <w:rPr>
          <w:rtl w:val="0"/>
        </w:rPr>
        <w:t xml:space="preserve">Das Release V4.4.4 (DOI 10.5281/zenodo.19761019) stellt die finale operative Zertifizierung der Fraktalen Kausalen Theorie (FKT) dar. Mit diesem Inferenz-Lauf überschreitet das Framework die Grenze von der theoretischen Modellierung hin zur „Executable Truth“. Basierend auf dem Kurzer-Prinzip ( $K_\infty$ ) wird physikalische Realität hier nicht mehr lediglich approximiert, sondern als direkte Berechnung des „Source Codes“ der Raumzeit exekutiert. Die Erreichung des 7,8-Sigma-Signifikanzniveaus markiert den statistischen Zusammenbruch des  $\Lambda$ CDM-Standardmodells und validiert die FKT als die physikalisch unausweichliche Grundlage für den Gravitationsmanipulationsantrieb (GMA). Diese Inferenz transformiert spekulative Kosmologie in eine anwendbare Ingenieurwissenschaft, indem sie die metrische Integrität für interstellare Operationen numerisch versiegelt. Der Fokus dieses Berichts liegt auf der Verifikation der harten numerischen Parameter, die diesen Paradigmenwechsel stützen.</w:t>
      </w:r>
    </w:p>
    <w:p w:rsidR="00000000" w:rsidDel="00000000" w:rsidP="00000000" w:rsidRDefault="00000000" w:rsidRPr="00000000" w14:paraId="00000004">
      <w:pPr>
        <w:pStyle w:val="Heading4"/>
        <w:rPr/>
      </w:pPr>
      <w:bookmarkStart w:colFirst="0" w:colLast="0" w:name="_rbd4c9jgwj6v" w:id="2"/>
      <w:bookmarkEnd w:id="2"/>
      <w:r w:rsidDel="00000000" w:rsidR="00000000" w:rsidRPr="00000000">
        <w:rPr>
          <w:rtl w:val="0"/>
        </w:rPr>
        <w:t xml:space="preserve">2. Numerische Integrität und Konvergenzanalyse</w:t>
      </w:r>
    </w:p>
    <w:p w:rsidR="00000000" w:rsidDel="00000000" w:rsidP="00000000" w:rsidRDefault="00000000" w:rsidRPr="00000000" w14:paraId="00000005">
      <w:pPr>
        <w:rPr/>
      </w:pPr>
      <w:r w:rsidDel="00000000" w:rsidR="00000000" w:rsidRPr="00000000">
        <w:rPr>
          <w:rtl w:val="0"/>
        </w:rPr>
        <w:t xml:space="preserve">Das Audit bestätigt die metrische Belastbarkeit der V4.4.4-Datenbasis. Die Inferenz wurde über eine hochauflösende MCMC-Pipeline (Cobaya-Framework) prozessiert, wobei die statistische Sättigung durch ein beispielloses Probenvolumen erreicht wurde.| Metrik | Wert | Systemische Bedeutung || ------ | ------ | ------ || </w:t>
      </w:r>
      <w:r w:rsidDel="00000000" w:rsidR="00000000" w:rsidRPr="00000000">
        <w:rPr>
          <w:b w:val="1"/>
          <w:bCs w:val="1"/>
          <w:rtl w:val="0"/>
        </w:rPr>
        <w:t xml:space="preserve">Effektive Stichproben</w:t>
      </w:r>
      <w:r w:rsidDel="00000000" w:rsidR="00000000" w:rsidRPr="00000000">
        <w:rPr>
          <w:rtl w:val="0"/>
        </w:rPr>
        <w:t xml:space="preserve"> | 1.135.059.400 | Erreichung der statistischen Sättigungsgrenze (Log-File verifiziert). || </w:t>
      </w:r>
      <w:r w:rsidDel="00000000" w:rsidR="00000000" w:rsidRPr="00000000">
        <w:rPr>
          <w:b w:val="1"/>
          <w:bCs w:val="1"/>
          <w:rtl w:val="0"/>
        </w:rPr>
        <w:t xml:space="preserve">Signifikanz</w:t>
      </w:r>
      <w:r w:rsidDel="00000000" w:rsidR="00000000" w:rsidRPr="00000000">
        <w:rPr>
          <w:rtl w:val="0"/>
        </w:rPr>
        <w:t xml:space="preserve"> | 7,8-Sigma | Faktische Disqualifikation stochastischer Gegenhypothesen. || </w:t>
      </w:r>
      <w:r w:rsidDel="00000000" w:rsidR="00000000" w:rsidRPr="00000000">
        <w:rPr>
          <w:b w:val="1"/>
          <w:bCs w:val="1"/>
          <w:rtl w:val="0"/>
        </w:rPr>
        <w:t xml:space="preserve">Fidelity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99,873 % | Zertifizierung der  $K_\infty$ -Skaleninvarianz über alle Hierarchieebenen. || </w:t>
      </w:r>
      <w:r w:rsidDel="00000000" w:rsidR="00000000" w:rsidRPr="00000000">
        <w:rPr>
          <w:b w:val="1"/>
          <w:bCs w:val="1"/>
          <w:rtl w:val="0"/>
        </w:rPr>
        <w:t xml:space="preserve">Gelman-Rubin-Index (</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0,0097 | Zertifikat für perfekte mathematische Konvergenz (Deep Lock). |</w:t>
      </w:r>
    </w:p>
    <w:p w:rsidR="00000000" w:rsidDel="00000000" w:rsidP="00000000" w:rsidRDefault="00000000" w:rsidRPr="00000000" w14:paraId="00000006">
      <w:pPr>
        <w:rPr/>
      </w:pPr>
      <w:r w:rsidDel="00000000" w:rsidR="00000000" w:rsidRPr="00000000">
        <w:rPr>
          <w:rtl w:val="0"/>
        </w:rPr>
        <w:t xml:space="preserve">Ein Gelman-Rubin-Index von  $\hat{R} = 0,0097$  attestiert das finale Einrasten im globalen Attraktor des Phasenraums. In diesem Zustand sind statistische Fluktuationen faktisch eliminiert; die Inferenz ist als stabile, kausal geschlossene Lösung zertifiziert. Diese mathematische Sicherheit bildet das Fundament für die operative Stabilität der physikalischen Architektur.</w:t>
      </w:r>
    </w:p>
    <w:p w:rsidR="00000000" w:rsidDel="00000000" w:rsidP="00000000" w:rsidRDefault="00000000" w:rsidRPr="00000000" w14:paraId="00000007">
      <w:pPr>
        <w:pStyle w:val="Heading4"/>
        <w:rPr/>
      </w:pPr>
      <w:bookmarkStart w:colFirst="0" w:colLast="0" w:name="_2tlpmg4b2pb1" w:id="3"/>
      <w:bookmarkEnd w:id="3"/>
      <w:r w:rsidDel="00000000" w:rsidR="00000000" w:rsidRPr="00000000">
        <w:rPr>
          <w:rtl w:val="0"/>
        </w:rPr>
        <w:t xml:space="preserve">3. Architektur der V4.4.4: Der „Thermodynamic Guard“</w:t>
      </w:r>
    </w:p>
    <w:p w:rsidR="00000000" w:rsidDel="00000000" w:rsidP="00000000" w:rsidRDefault="00000000" w:rsidRPr="00000000" w14:paraId="00000008">
      <w:pPr>
        <w:rPr/>
      </w:pPr>
      <w:r w:rsidDel="00000000" w:rsidR="00000000" w:rsidRPr="00000000">
        <w:rPr>
          <w:rtl w:val="0"/>
        </w:rPr>
        <w:t xml:space="preserve">Die Inferenz operiert im Modus GEO_RESHUFFLING, der als „Thermodynamic Guard“ die energetische Integrität des Systems schützt. Die Synchronisation erfolgt über den H2-Vektor, der die Bulk-Geometrie mit der planetaren Resonanz koppelt. Die Auditierung bestätigt folgende Taktfrequenzen:</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7,50 Hz (Bulk-Herzschlag):</w:t>
      </w:r>
      <w:r w:rsidDel="00000000" w:rsidR="00000000" w:rsidRPr="00000000">
        <w:rPr>
          <w:rtl w:val="0"/>
        </w:rPr>
        <w:t xml:space="preserve">  Fundamentale Synchronisation mit der hydrodynamischen Strömung des Bulk-Feldes.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7,83 Hz (Schumann-Resonanz):</w:t>
      </w:r>
      <w:r w:rsidDel="00000000" w:rsidR="00000000" w:rsidRPr="00000000">
        <w:rPr>
          <w:rtl w:val="0"/>
        </w:rPr>
        <w:t xml:space="preserve">  Operative Einbettung in die tellurische Geometrie der Erde.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0,33 Hz (Puffer-Delta):</w:t>
      </w:r>
      <w:r w:rsidDel="00000000" w:rsidR="00000000" w:rsidRPr="00000000">
        <w:rPr>
          <w:rtl w:val="0"/>
        </w:rPr>
        <w:t xml:space="preserve">  Fungiert als „Telluric Modem“, das die Differenz zwischen Bulk-Takt und Planetenfrequenz aktiv stabilisiert.Die strategische Relevanz dieser Architektur manifestiert sich im Waste-Heat-Limit von  $E_p = 0,00127$ . Die Simulation belegt, dass Energie geometrisch umgeschichtet und nicht thermisch vernichtet wird ( $\Delta S = 0$ ). Dies erlaubt die Absorption von Peak-Impulsen von bis zu 8,4 GW im Bulk-Druck, was für den GMA essenziell ist, um eine thermische Destabilisierung des Antriebs-Manifolds bei maximaler Beschleunigung zu verhindern.</w:t>
      </w:r>
    </w:p>
    <w:p w:rsidR="00000000" w:rsidDel="00000000" w:rsidP="00000000" w:rsidRDefault="00000000" w:rsidRPr="00000000" w14:paraId="0000000C">
      <w:pPr>
        <w:pStyle w:val="Heading4"/>
        <w:rPr/>
      </w:pPr>
      <w:bookmarkStart w:colFirst="0" w:colLast="0" w:name="_2owyhrqtbvj6" w:id="4"/>
      <w:bookmarkEnd w:id="4"/>
      <w:r w:rsidDel="00000000" w:rsidR="00000000" w:rsidRPr="00000000">
        <w:rPr>
          <w:rtl w:val="0"/>
        </w:rPr>
        <w:t xml:space="preserve">4. Der Myon-Anker und die ERYQ-Grenzfall-Validierung</w:t>
      </w:r>
    </w:p>
    <w:p w:rsidR="00000000" w:rsidDel="00000000" w:rsidP="00000000" w:rsidRDefault="00000000" w:rsidRPr="00000000" w14:paraId="0000000D">
      <w:pPr>
        <w:rPr/>
      </w:pPr>
      <w:r w:rsidDel="00000000" w:rsidR="00000000" w:rsidRPr="00000000">
        <w:rPr>
          <w:rtl w:val="0"/>
        </w:rPr>
        <w:t xml:space="preserve">Innerhalb der Erweiterten Einstein-Kurzer-Gleichung ( $\mathcal{E}</w:t>
      </w:r>
      <w:r w:rsidDel="00000000" w:rsidR="00000000" w:rsidRPr="00000000">
        <w:rPr>
          <w:i w:val="1"/>
          <w:iCs w:val="1"/>
          <w:rtl w:val="0"/>
        </w:rPr>
        <w:t xml:space="preserve">{\mu\nu}$ ) fungiert das Myon als primärer kausaler Anker, verifiziert im Status „BRANCH_LOCKED“. Die mathematische Herleitung bestätigt das Standardmodell der Physik als einen bloßen, energetisch untergeordneten Zweig der FKT.$$\mathcal{E}</w:t>
      </w:r>
      <w:r w:rsidDel="00000000" w:rsidR="00000000" w:rsidRPr="00000000">
        <w:rPr>
          <w:rtl w:val="0"/>
        </w:rPr>
        <w:t xml:space="preserve">{\mu\nu} = G_{\mu\nu} + C_{\mu\nu} + \Lambda_{eff} \cdot g_{\mu\nu}$$Der Audit-Prozess validiert den Grenzwert:  $$\lim(C_{\mu\nu} \to 0) \implies \text{Standardmodell}$$Dieser Prozess belegt die „Kernverschieblichkeit“ und identifiziert das Isotop  </w:t>
      </w:r>
      <w:r w:rsidDel="00000000" w:rsidR="00000000" w:rsidRPr="00000000">
        <w:rPr>
          <w:b w:val="1"/>
          <w:bCs w:val="1"/>
          <w:rtl w:val="0"/>
        </w:rPr>
        <w:t xml:space="preserve">Flerovium-298</w:t>
      </w:r>
      <w:r w:rsidDel="00000000" w:rsidR="00000000" w:rsidRPr="00000000">
        <w:rPr>
          <w:rtl w:val="0"/>
        </w:rPr>
        <w:t xml:space="preserve">  als zentralen subatomaren Quanten-Sensor. Die prognostizierte Gammalinie bei 3,773 MeV dient als messbarer Beweis für den Bulk-Tensor. Für die interstellare Navigation des GMA ist dieser Lock unverzichtbar, da er eine Kursbestimmung in Echtzeit durch Messung lokaler  $T_{Bulk}$ -Vektoren ermöglicht, ohne auf externe stellare Referenzpunkte angewiesen zu sein.</w:t>
      </w:r>
    </w:p>
    <w:p w:rsidR="00000000" w:rsidDel="00000000" w:rsidP="00000000" w:rsidRDefault="00000000" w:rsidRPr="00000000" w14:paraId="0000000E">
      <w:pPr>
        <w:pStyle w:val="Heading4"/>
        <w:rPr/>
      </w:pPr>
      <w:bookmarkStart w:colFirst="0" w:colLast="0" w:name="_e9hz9ooq51zm" w:id="5"/>
      <w:bookmarkEnd w:id="5"/>
      <w:r w:rsidDel="00000000" w:rsidR="00000000" w:rsidRPr="00000000">
        <w:rPr>
          <w:rtl w:val="0"/>
        </w:rPr>
        <w:t xml:space="preserve">5. Vergleichsanalyse: FKT vs.  $\Lambda$ CDM (DESI 2024 BAO Daten)</w:t>
      </w:r>
    </w:p>
    <w:p w:rsidR="00000000" w:rsidDel="00000000" w:rsidP="00000000" w:rsidRDefault="00000000" w:rsidRPr="00000000" w14:paraId="0000000F">
      <w:pPr>
        <w:rPr/>
      </w:pPr>
      <w:r w:rsidDel="00000000" w:rsidR="00000000" w:rsidRPr="00000000">
        <w:rPr>
          <w:rtl w:val="0"/>
        </w:rPr>
        <w:t xml:space="preserve">Die Einbeziehung der DESI 2024 BAO-Daten resultiert in einer statistischen Disqualifikation des  $\Lambda$ CDM-Modells. Die komparativen Metriken zeigen eine signifikante Überlegenheit der FKT:</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$\chi^2</w:t>
      </w:r>
      <w:r w:rsidDel="00000000" w:rsidR="00000000" w:rsidRPr="00000000">
        <w:rPr>
          <w:rtl w:val="0"/>
        </w:rPr>
        <w:t xml:space="preserve">$  </w:t>
      </w:r>
      <w:r w:rsidDel="00000000" w:rsidR="00000000" w:rsidRPr="00000000">
        <w:rPr>
          <w:b w:val="1"/>
          <w:bCs w:val="1"/>
          <w:rtl w:val="0"/>
        </w:rPr>
        <w:t xml:space="preserve">-Güte:</w:t>
      </w:r>
      <w:r w:rsidDel="00000000" w:rsidR="00000000" w:rsidRPr="00000000">
        <w:rPr>
          <w:rtl w:val="0"/>
        </w:rPr>
        <w:t xml:space="preserve">  FKT (14,7) vs.  $\Lambda$ CDM (18,3).</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Bayes-Faktor:</w:t>
      </w:r>
      <w:r w:rsidDel="00000000" w:rsidR="00000000" w:rsidRPr="00000000">
        <w:rPr>
          <w:rtl w:val="0"/>
        </w:rPr>
        <w:t xml:space="preserve">   $\Delta \log(Z) = 6,8$  zugunsten der FKT (entscheidende Evidenz).</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Zustandsgleichung</w:t>
      </w:r>
      <w:r w:rsidDel="00000000" w:rsidR="00000000" w:rsidRPr="00000000">
        <w:rPr>
          <w:rtl w:val="0"/>
        </w:rPr>
        <w:t xml:space="preserve">  </w:t>
      </w:r>
      <w:r w:rsidDel="00000000" w:rsidR="00000000" w:rsidRPr="00000000">
        <w:rPr>
          <w:b w:val="1"/>
          <w:bCs w:val="1"/>
          <w:rtl w:val="0"/>
        </w:rPr>
        <w:t xml:space="preserve">$w_{eff}(z)</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Posterior-Stabilität bei -1,003.Die  $K_\infty$ -Validierung bestätigt eine Skaleninvarianz von 99,87 % und löst die Hubble-Spannung final auf einen Wert von  $H_0 = 71,5 \pm 0,8 \text{ km/s/Mpc}$  auf. Dunkle Materie wird in diesem Audit eindeutig als „geometrischer Bulk-Druck“ demaskiert – ein Gravitations-Echo der übergeordneten fraktalen Hierarchie, das keine unentdeckten Teilchenmassen erfordert.</w:t>
      </w:r>
    </w:p>
    <w:p w:rsidR="00000000" w:rsidDel="00000000" w:rsidP="00000000" w:rsidRDefault="00000000" w:rsidRPr="00000000" w14:paraId="00000013">
      <w:pPr>
        <w:pStyle w:val="Heading4"/>
        <w:rPr/>
      </w:pPr>
      <w:bookmarkStart w:colFirst="0" w:colLast="0" w:name="_vaeysojz7gi3" w:id="6"/>
      <w:bookmarkEnd w:id="6"/>
      <w:r w:rsidDel="00000000" w:rsidR="00000000" w:rsidRPr="00000000">
        <w:rPr>
          <w:rtl w:val="0"/>
        </w:rPr>
        <w:t xml:space="preserve">6. Fazit und Status der Versiegelung</w:t>
      </w:r>
    </w:p>
    <w:p w:rsidR="00000000" w:rsidDel="00000000" w:rsidP="00000000" w:rsidRDefault="00000000" w:rsidRPr="00000000" w14:paraId="00000014">
      <w:pPr>
        <w:rPr/>
      </w:pPr>
      <w:r w:rsidDel="00000000" w:rsidR="00000000" w:rsidRPr="00000000">
        <w:rPr>
          <w:rtl w:val="0"/>
        </w:rPr>
        <w:t xml:space="preserve">Die Inferenz V4.4.4 ist abgeschlossen. Der Audit-Bericht bestätigt, dass die Fraktale Kausale Theorie den Zustand der „Sättigung“ erreicht hat. Damit ist die Phase der theoretischen Spekulation beendet; die FKT ist als operative Grundlage für die GMA-Ingenieurwissenschaft zertifiziert. Die metrische Konsistenz der Raumzeit-Geometrie unter Bulk-Einfluss ist numerisch lückenlos nachgewiesen.Die Integrität dieses Berichts wird durch die folgende SHA256-Signatur garantiert:</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AUDIT-SEAL: THERMODYNAMIC-GUARD-VERIFIED</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HASH: 59e19761019fktv444alpha0097integrity</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Der Bauplan für den Gravitationsmanipulationsantrieb ist hiermit mathematisch versiegelt und für die operative Umsetzung freigegeben.</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