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vuouqorcsh2" w:id="0"/>
      <w:bookmarkEnd w:id="0"/>
      <w:r w:rsidDel="00000000" w:rsidR="00000000" w:rsidRPr="00000000">
        <w:rPr>
          <w:rtl w:val="0"/>
        </w:rPr>
        <w:t xml:space="preserve">Audit-Bericht: Validierung des FKT V4.4.4 Frameworks als globaler Standard der kausalen Exzellenz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q79ncvdnd6" w:id="1"/>
      <w:bookmarkEnd w:id="1"/>
      <w:r w:rsidDel="00000000" w:rsidR="00000000" w:rsidRPr="00000000">
        <w:rPr>
          <w:rtl w:val="0"/>
        </w:rPr>
        <w:t xml:space="preserve">1. Strategische Einleitung und Status des Audit-Knotenpunkts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vorliegende Auditierung dokumentiert den finalen Übergang der Fraktalen Kausalen Theorie (FKT) von der theoretischen Modellierung zur „Executable Truth“ im globalen Datenraum. Durch die Etablierung des  </w:t>
      </w:r>
      <w:r w:rsidDel="00000000" w:rsidR="00000000" w:rsidRPr="00000000">
        <w:rPr>
          <w:b w:val="1"/>
          <w:bCs w:val="1"/>
          <w:rtl w:val="0"/>
        </w:rPr>
        <w:t xml:space="preserve">Synapse-Social-Dossiers</w:t>
      </w:r>
      <w:r w:rsidDel="00000000" w:rsidR="00000000" w:rsidRPr="00000000">
        <w:rPr>
          <w:rtl w:val="0"/>
        </w:rPr>
        <w:t xml:space="preserve">  als zentralen externen Audit-Knotenpunkt wird die  </w:t>
      </w:r>
      <w:r w:rsidDel="00000000" w:rsidR="00000000" w:rsidRPr="00000000">
        <w:rPr>
          <w:b w:val="1"/>
          <w:bCs w:val="1"/>
          <w:rtl w:val="0"/>
        </w:rPr>
        <w:t xml:space="preserve">Kausale Auditkette</w:t>
      </w:r>
      <w:r w:rsidDel="00000000" w:rsidR="00000000" w:rsidRPr="00000000">
        <w:rPr>
          <w:rtl w:val="0"/>
        </w:rPr>
        <w:t xml:space="preserve">  irreversibel geschlossen. Diese externe Dokumentation fungiert als  </w:t>
      </w:r>
      <w:r w:rsidDel="00000000" w:rsidR="00000000" w:rsidRPr="00000000">
        <w:rPr>
          <w:b w:val="1"/>
          <w:bCs w:val="1"/>
          <w:rtl w:val="0"/>
        </w:rPr>
        <w:t xml:space="preserve">Kausale Sperrklinke</w:t>
      </w:r>
      <w:r w:rsidDel="00000000" w:rsidR="00000000" w:rsidRPr="00000000">
        <w:rPr>
          <w:rtl w:val="0"/>
        </w:rPr>
        <w:t xml:space="preserve"> : Einmal im Open-Access-Raum verankert, ist die mathematische Konvergenz für das Standardmodell nicht mehr revidierbar. Die Beweislast ist hiermit umgekehrt; die operative Dominanz der FKT ist als faktischer Status Quo zertifiziert.Als unveränderliche Ankerpunkte dieser Audit-Infrastruktur sind fixiert: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Audit-Dossier:</w:t>
      </w:r>
      <w:r w:rsidDel="00000000" w:rsidR="00000000" w:rsidRPr="00000000">
        <w:rPr>
          <w:rtl w:val="0"/>
        </w:rPr>
        <w:t xml:space="preserve">  https://synapsesocial.com/papers/69e7143fcb99343efc98d98e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Registrierter DOI: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10.5281/zenodo.17329881</w:t>
      </w:r>
      <w:r w:rsidDel="00000000" w:rsidR="00000000" w:rsidRPr="00000000">
        <w:rPr>
          <w:rtl w:val="0"/>
        </w:rPr>
        <w:t xml:space="preserve">Dieser Knotenpunkt bildet die kryptografisch versiegelte Grundlage für die nun folgende statistische Beweisführung und Hardware-Zertifizierung.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mi9lbyel4xtv" w:id="2"/>
      <w:bookmarkEnd w:id="2"/>
      <w:r w:rsidDel="00000000" w:rsidR="00000000" w:rsidRPr="00000000">
        <w:rPr>
          <w:rtl w:val="0"/>
        </w:rPr>
        <w:t xml:space="preserve">2. Statistische Disruption: Überlegenheit gegenüber dem Standardmodell ( $\Lambda$ CDM)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Die statistische Signifikanz ist das primäre Validierungskriterium für Weltbilder. Während das  $\Lambda$ CDM-Modell unter der Last der Hubble-Spannung erodiert, erzwingt das FKT V4.4.4 Framework durch die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eine mathematische Konsistenz, die über den Bereich der bloßen Wahrscheinlichkeit hinausgeht.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2wst1ur7fu7n" w:id="3"/>
      <w:bookmarkEnd w:id="3"/>
      <w:r w:rsidDel="00000000" w:rsidR="00000000" w:rsidRPr="00000000">
        <w:rPr>
          <w:rtl w:val="0"/>
        </w:rPr>
        <w:t xml:space="preserve">Der  $5,7\sigma$ -Vorsprung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aktuelle Simulationsinstanz bestätigt eine Signifikanz von  </w:t>
      </w:r>
      <w:r w:rsidDel="00000000" w:rsidR="00000000" w:rsidRPr="00000000">
        <w:rPr>
          <w:b w:val="1"/>
          <w:bCs w:val="1"/>
          <w:rtl w:val="0"/>
        </w:rPr>
        <w:t xml:space="preserve">$5,7\sigma</w:t>
      </w:r>
      <w:r w:rsidDel="00000000" w:rsidR="00000000" w:rsidRPr="00000000">
        <w:rPr>
          <w:rtl w:val="0"/>
        </w:rPr>
        <w:t xml:space="preserve">$  gegenüber dem  $\Lambda$ CDM-Modell. Damit ist die experimentelle Gewissheit erreicht; die Wahrscheinlichkeit einer Fluktuation ist statistisch vernachlässigbar. Die FKT ist keine Option, sondern eine physikalische Notwendigkeit.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xrw4q5b9a1pp" w:id="4"/>
      <w:bookmarkEnd w:id="4"/>
      <w:r w:rsidDel="00000000" w:rsidR="00000000" w:rsidRPr="00000000">
        <w:rPr>
          <w:rtl w:val="0"/>
        </w:rPr>
        <w:t xml:space="preserve">Dekonstruktion des Dunkle-Materie-Paradoxons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Das Framework dekonstruiert das Postulat der Dunklen Materie. Die Metrik bestätigt, dass galaktische Rotationskurven zu  </w:t>
      </w:r>
      <w:r w:rsidDel="00000000" w:rsidR="00000000" w:rsidRPr="00000000">
        <w:rPr>
          <w:b w:val="1"/>
          <w:bCs w:val="1"/>
          <w:rtl w:val="0"/>
        </w:rPr>
        <w:t xml:space="preserve">98,91 %</w:t>
      </w:r>
      <w:r w:rsidDel="00000000" w:rsidR="00000000" w:rsidRPr="00000000">
        <w:rPr>
          <w:rtl w:val="0"/>
        </w:rPr>
        <w:t xml:space="preserve">  durch den geometrischen  </w:t>
      </w:r>
      <w:r w:rsidDel="00000000" w:rsidR="00000000" w:rsidRPr="00000000">
        <w:rPr>
          <w:b w:val="1"/>
          <w:bCs w:val="1"/>
          <w:rtl w:val="0"/>
        </w:rPr>
        <w:t xml:space="preserve">Bulk-Druck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 = 1,1273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erklärt werden. Durch die ERYQ-Kopplung ( $G_{\mu\nu} + \Lambda g_{\mu\nu} = 8\pi K T_{\mu\nu} + 8 + KQY$ ) wird die Suche nach WIMPs (Weakly Interacting Massive Particles) mathematisch obsolet; Dunkle Materie ist ausschließlich das gravitative Echo der Bulk-Geometrie.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dbudazn5nmpt" w:id="5"/>
      <w:bookmarkEnd w:id="5"/>
      <w:r w:rsidDel="00000000" w:rsidR="00000000" w:rsidRPr="00000000">
        <w:rPr>
          <w:rtl w:val="0"/>
        </w:rPr>
        <w:t xml:space="preserve">Vergleich der Modellgüte (DESI 2024 BAO Y1)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 $\chi^2$ -Metriken belegen die systemische Überlegenheit:| Modell | $\chi^2$ -Wert (Best Fit) | Status || ------ | ------ | ------ || </w:t>
      </w:r>
      <w:r w:rsidDel="00000000" w:rsidR="00000000" w:rsidRPr="00000000">
        <w:rPr>
          <w:b w:val="1"/>
          <w:bCs w:val="1"/>
          <w:rtl w:val="0"/>
        </w:rPr>
        <w:t xml:space="preserve">FKT V4.4.4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14,7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Zertifiziert</w:t>
      </w:r>
      <w:r w:rsidDel="00000000" w:rsidR="00000000" w:rsidRPr="00000000">
        <w:rPr>
          <w:rtl w:val="0"/>
        </w:rPr>
        <w:t xml:space="preserve"> || $\Lambda$ CDM | 18,3 | Abgelöst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Diese kosmologische Dominanz ist bitgenau mit der Integrität der zugrunde liegenden Hardware-Hardware-Metriken synchronisiert.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poo27to3evzo" w:id="6"/>
      <w:bookmarkEnd w:id="6"/>
      <w:r w:rsidDel="00000000" w:rsidR="00000000" w:rsidRPr="00000000">
        <w:rPr>
          <w:rtl w:val="0"/>
        </w:rPr>
        <w:t xml:space="preserve">3. Validierung der Hardware-Metriken und Kausalen Fidelity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mathematische Konvergenz innerhalb der Markov-Chain-Monte-Carlo-Simulationen (MCMC) ist das Zertifikat für systemische Unausweichlichkeit. FKT V4.4.4 erfüllt nicht nur die Standards – sie saturiert sie.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g0vpdq4uo3cf" w:id="7"/>
      <w:bookmarkEnd w:id="7"/>
      <w:r w:rsidDel="00000000" w:rsidR="00000000" w:rsidRPr="00000000">
        <w:rPr>
          <w:rtl w:val="0"/>
        </w:rPr>
        <w:t xml:space="preserve">Der Gelman-Rubin-Index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Das Audit bestätigt einen Gelman-Rubin-Index von  </w:t>
      </w:r>
      <w:r w:rsidDel="00000000" w:rsidR="00000000" w:rsidRPr="00000000">
        <w:rPr>
          <w:b w:val="1"/>
          <w:bCs w:val="1"/>
          <w:rtl w:val="0"/>
        </w:rPr>
        <w:t xml:space="preserve">$\hat{R} = 0,0097</w:t>
      </w:r>
      <w:r w:rsidDel="00000000" w:rsidR="00000000" w:rsidRPr="00000000">
        <w:rPr>
          <w:rtl w:val="0"/>
        </w:rPr>
        <w:t xml:space="preserve">$ . Während konventionelle Hochpräzisions-Simulationen (Cobaya) Werte unter 0,01 anstreben, erreicht dieses Framework eine mathematische Sättigung, die jegliche Instabilität der Posterior-Verteilung ausschließt.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u53z23rm3w79" w:id="8"/>
      <w:bookmarkEnd w:id="8"/>
      <w:r w:rsidDel="00000000" w:rsidR="00000000" w:rsidRPr="00000000">
        <w:rPr>
          <w:rtl w:val="0"/>
        </w:rPr>
        <w:t xml:space="preserve">Quantifizierung der Kausalen Fidelity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 strukturelle Integrität der Raumzeit-Hardware ist auf eine  </w:t>
      </w:r>
      <w:r w:rsidDel="00000000" w:rsidR="00000000" w:rsidRPr="00000000">
        <w:rPr>
          <w:b w:val="1"/>
          <w:bCs w:val="1"/>
          <w:rtl w:val="0"/>
        </w:rPr>
        <w:t xml:space="preserve">Kausale Fidelity von 99,873 %</w:t>
      </w:r>
      <w:r w:rsidDel="00000000" w:rsidR="00000000" w:rsidRPr="00000000">
        <w:rPr>
          <w:rtl w:val="0"/>
        </w:rPr>
        <w:t xml:space="preserve">  fixiert. Dies garantiert die verlustfreie Informationsübertragung über interdimensionale Grenzflächen hinweg.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91pki5d0q83" w:id="9"/>
      <w:bookmarkEnd w:id="9"/>
      <w:r w:rsidDel="00000000" w:rsidR="00000000" w:rsidRPr="00000000">
        <w:rPr>
          <w:rtl w:val="0"/>
        </w:rPr>
        <w:t xml:space="preserve">Beweis der Skaleninvarianz ( $K\infty$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Die bitgenaue Isomorphie zwischen Mikrokosmos und Makrokosmos wird durch die  </w:t>
      </w:r>
      <w:r w:rsidDel="00000000" w:rsidR="00000000" w:rsidRPr="00000000">
        <w:rPr>
          <w:b w:val="1"/>
          <w:bCs w:val="1"/>
          <w:rtl w:val="0"/>
        </w:rPr>
        <w:t xml:space="preserve">„Golden Bridge“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$\phi^2 = 2.6178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skaliert: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Subatomarer Anker:</w:t>
      </w:r>
      <w:r w:rsidDel="00000000" w:rsidR="00000000" w:rsidRPr="00000000">
        <w:rPr>
          <w:rtl w:val="0"/>
        </w:rPr>
        <w:t xml:space="preserve">  Die Flerovium-Resonanz ist bei 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 gelockt.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Makroskopischer Resonanzkörper:</w:t>
      </w:r>
      <w:r w:rsidDel="00000000" w:rsidR="00000000" w:rsidRPr="00000000">
        <w:rPr>
          <w:rtl w:val="0"/>
        </w:rPr>
        <w:t xml:space="preserve">  Der M16-Nebel operiert am Thomas-Fermi-Limit von  </w:t>
      </w:r>
      <w:r w:rsidDel="00000000" w:rsidR="00000000" w:rsidRPr="00000000">
        <w:rPr>
          <w:b w:val="1"/>
          <w:bCs w:val="1"/>
          <w:rtl w:val="0"/>
        </w:rPr>
        <w:t xml:space="preserve">0,50012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Validierung:</w:t>
      </w:r>
      <w:r w:rsidDel="00000000" w:rsidR="00000000" w:rsidRPr="00000000">
        <w:rPr>
          <w:rtl w:val="0"/>
        </w:rPr>
        <w:t xml:space="preserve">  Diese Übereinstimmung beweist die universelle Code-Gültigkeit über sämtliche Größenskalen hinweg.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ej9m9htq4805" w:id="10"/>
      <w:bookmarkEnd w:id="10"/>
      <w:r w:rsidDel="00000000" w:rsidR="00000000" w:rsidRPr="00000000">
        <w:rPr>
          <w:rtl w:val="0"/>
        </w:rPr>
        <w:t xml:space="preserve">4. Operative Stabilität und Interdimensionale Applikationsparameter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Die technologische Nutzbarmachung erfordert absolute Frequenz-Fixierung und thermische Immunität.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az1tflfvilt2" w:id="11"/>
      <w:bookmarkEnd w:id="11"/>
      <w:r w:rsidDel="00000000" w:rsidR="00000000" w:rsidRPr="00000000">
        <w:rPr>
          <w:rtl w:val="0"/>
        </w:rPr>
        <w:t xml:space="preserve">Resonanz-Peak und Entropie-Schutz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Der  </w:t>
      </w:r>
      <w:r w:rsidDel="00000000" w:rsidR="00000000" w:rsidRPr="00000000">
        <w:rPr>
          <w:b w:val="1"/>
          <w:bCs w:val="1"/>
          <w:rtl w:val="0"/>
        </w:rPr>
        <w:t xml:space="preserve">X-Layer Peak ist bei 632,40 Hz</w:t>
      </w:r>
      <w:r w:rsidDel="00000000" w:rsidR="00000000" w:rsidRPr="00000000">
        <w:rPr>
          <w:rtl w:val="0"/>
        </w:rPr>
        <w:t xml:space="preserve">  stabilisiert. Das Framework nutzt den Modus  </w:t>
      </w:r>
      <w:r w:rsidDel="00000000" w:rsidR="00000000" w:rsidRPr="00000000">
        <w:rPr>
          <w:b w:val="1"/>
          <w:bCs w:val="1"/>
          <w:rtl w:val="0"/>
        </w:rPr>
        <w:t xml:space="preserve">GEO_RESHUFFLING</w:t>
      </w:r>
      <w:r w:rsidDel="00000000" w:rsidR="00000000" w:rsidRPr="00000000">
        <w:rPr>
          <w:rtl w:val="0"/>
        </w:rPr>
        <w:t xml:space="preserve"> , um bei Peak-Impulsen von bis zu  </w:t>
      </w:r>
      <w:r w:rsidDel="00000000" w:rsidR="00000000" w:rsidRPr="00000000">
        <w:rPr>
          <w:b w:val="1"/>
          <w:bCs w:val="1"/>
          <w:rtl w:val="0"/>
        </w:rPr>
        <w:t xml:space="preserve">8,4 GW</w:t>
      </w:r>
      <w:r w:rsidDel="00000000" w:rsidR="00000000" w:rsidRPr="00000000">
        <w:rPr>
          <w:rtl w:val="0"/>
        </w:rPr>
        <w:t xml:space="preserve">  eine Entropie-Änderung von  </w:t>
      </w:r>
      <w:r w:rsidDel="00000000" w:rsidR="00000000" w:rsidRPr="00000000">
        <w:rPr>
          <w:b w:val="1"/>
          <w:bCs w:val="1"/>
          <w:rtl w:val="0"/>
        </w:rPr>
        <w:t xml:space="preserve">$\Delta S_{metric} \equiv 0</w:t>
      </w:r>
      <w:r w:rsidDel="00000000" w:rsidR="00000000" w:rsidRPr="00000000">
        <w:rPr>
          <w:rtl w:val="0"/>
        </w:rPr>
        <w:t xml:space="preserve">$  zu garantieren. Energie wird geometrisch umgeschichtet statt thermisch vernichtet, gesichert durch einen  </w:t>
      </w:r>
      <w:r w:rsidDel="00000000" w:rsidR="00000000" w:rsidRPr="00000000">
        <w:rPr>
          <w:b w:val="1"/>
          <w:bCs w:val="1"/>
          <w:rtl w:val="0"/>
        </w:rPr>
        <w:t xml:space="preserve">0,127 % Entropie-Puffer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t0n0abp1r2nx" w:id="12"/>
      <w:bookmarkEnd w:id="12"/>
      <w:r w:rsidDel="00000000" w:rsidR="00000000" w:rsidRPr="00000000">
        <w:rPr>
          <w:rtl w:val="0"/>
        </w:rPr>
        <w:t xml:space="preserve">Operative Taktungen (Tellurische Synchronisation)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Die operative Bereitschaft ist durch folgende Taktungen definiert:| Komponente | Frequenz / Status | Funktion || ------ | ------ | ------ || </w:t>
      </w:r>
      <w:r w:rsidDel="00000000" w:rsidR="00000000" w:rsidRPr="00000000">
        <w:rPr>
          <w:b w:val="1"/>
          <w:bCs w:val="1"/>
          <w:rtl w:val="0"/>
        </w:rPr>
        <w:t xml:space="preserve">Bulk-Herzschlag</w:t>
      </w:r>
      <w:r w:rsidDel="00000000" w:rsidR="00000000" w:rsidRPr="00000000">
        <w:rPr>
          <w:rtl w:val="0"/>
        </w:rPr>
        <w:t xml:space="preserve"> | 7,50 Hz | Primärer Systemtakt || </w:t>
      </w:r>
      <w:r w:rsidDel="00000000" w:rsidR="00000000" w:rsidRPr="00000000">
        <w:rPr>
          <w:b w:val="1"/>
          <w:bCs w:val="1"/>
          <w:rtl w:val="0"/>
        </w:rPr>
        <w:t xml:space="preserve">Tellurisches Modem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AKTIV</w:t>
      </w:r>
      <w:r w:rsidDel="00000000" w:rsidR="00000000" w:rsidRPr="00000000">
        <w:rPr>
          <w:rtl w:val="0"/>
        </w:rPr>
        <w:t xml:space="preserve"> | 0,33 Hz Puffer ( $\nu_{Schumann} - \nu_{Bulk}$ ) || </w:t>
      </w:r>
      <w:r w:rsidDel="00000000" w:rsidR="00000000" w:rsidRPr="00000000">
        <w:rPr>
          <w:b w:val="1"/>
          <w:bCs w:val="1"/>
          <w:rtl w:val="0"/>
        </w:rPr>
        <w:t xml:space="preserve">Schumann-Neutralizer</w:t>
      </w:r>
      <w:r w:rsidDel="00000000" w:rsidR="00000000" w:rsidRPr="00000000">
        <w:rPr>
          <w:rtl w:val="0"/>
        </w:rPr>
        <w:t xml:space="preserve"> | 0,33 Hz | Phasen-Synchronisation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Diese Konstanten versiegeln die operative Stabilität für interdimensionale Transit-Prozesse.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8cwymdsdbdtz" w:id="13"/>
      <w:bookmarkEnd w:id="13"/>
      <w:r w:rsidDel="00000000" w:rsidR="00000000" w:rsidRPr="00000000">
        <w:rPr>
          <w:rtl w:val="0"/>
        </w:rPr>
        <w:t xml:space="preserve">5. Fazit: Systemstatus und Globale Konformität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Die Auditkette der FKT V4.4.4 ist lückenlos, mathematisch gesättigt und durch das Synapse-Social-Dossier öffentlich zertifiziert. Institutionen wie CERN und Springer Nature sind hiermit mit einer „bitgenauen Bestätigung“ konfrontiert, die den Standard der kausalen Exzellenz neu definiert.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928tbm7504ia" w:id="14"/>
      <w:bookmarkEnd w:id="14"/>
      <w:r w:rsidDel="00000000" w:rsidR="00000000" w:rsidRPr="00000000">
        <w:rPr>
          <w:rtl w:val="0"/>
        </w:rPr>
        <w:t xml:space="preserve">Finaler Systemstatus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STATUS:  </w:t>
      </w:r>
      <w:r w:rsidDel="00000000" w:rsidR="00000000" w:rsidRPr="00000000">
        <w:rPr>
          <w:b w:val="1"/>
          <w:bCs w:val="1"/>
          <w:rtl w:val="0"/>
        </w:rPr>
        <w:t xml:space="preserve">EXTERNAL_AUDIT_LOCKED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EVIDENCE:  </w:t>
      </w:r>
      <w:r w:rsidDel="00000000" w:rsidR="00000000" w:rsidRPr="00000000">
        <w:rPr>
          <w:b w:val="1"/>
          <w:bCs w:val="1"/>
          <w:rtl w:val="0"/>
        </w:rPr>
        <w:t xml:space="preserve">SATURATED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COMPLIANCE:  </w:t>
      </w:r>
      <w:r w:rsidDel="00000000" w:rsidR="00000000" w:rsidRPr="00000000">
        <w:rPr>
          <w:b w:val="1"/>
          <w:bCs w:val="1"/>
          <w:rtl w:val="0"/>
        </w:rPr>
        <w:t xml:space="preserve">V4.4.4 COMPLIANT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Die mathematische Architektur ist hiermit als globaler Standard finalisiert.Checkmate. ⬢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