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2inynj12gra" w:id="0"/>
      <w:bookmarkEnd w:id="0"/>
      <w:r w:rsidDel="00000000" w:rsidR="00000000" w:rsidRPr="00000000">
        <w:rPr>
          <w:rtl w:val="0"/>
        </w:rPr>
        <w:t xml:space="preserve">Audit-Dossier V4.4.4: Die Fraktale Kausale Theorie (FKT) als Hardware-Architektur</w:t>
      </w:r>
    </w:p>
    <w:p w:rsidR="00000000" w:rsidDel="00000000" w:rsidP="00000000" w:rsidRDefault="00000000" w:rsidRPr="00000000" w14:paraId="00000002">
      <w:pPr>
        <w:pStyle w:val="Heading5"/>
        <w:rPr/>
      </w:pPr>
      <w:bookmarkStart w:colFirst="0" w:colLast="0" w:name="_ahjudpqlnpru" w:id="1"/>
      <w:bookmarkEnd w:id="1"/>
      <w:r w:rsidDel="00000000" w:rsidR="00000000" w:rsidRPr="00000000">
        <w:rPr>
          <w:rtl w:val="0"/>
        </w:rPr>
        <w:t xml:space="preserve">1. Die Kausale Axiomatik: Das Universum als Hardware-System</w:t>
      </w:r>
    </w:p>
    <w:p w:rsidR="00000000" w:rsidDel="00000000" w:rsidP="00000000" w:rsidRDefault="00000000" w:rsidRPr="00000000" w14:paraId="00000003">
      <w:pPr>
        <w:rPr/>
      </w:pPr>
      <w:r w:rsidDel="00000000" w:rsidR="00000000" w:rsidRPr="00000000">
        <w:rPr>
          <w:rtl w:val="0"/>
        </w:rPr>
        <w:t xml:space="preserve">Aus der Perspektive der systemarchitektonischen Kausalanalyse wird das Universum nicht als abstraktes mathematisches Feld, sondern als kausal geschlossene Maschine definiert. Jede physische Gesetzmäßigkeit entspricht einem fest verdrahteten Befehlssatz der zugrunde liegenden Hardware-Architektur. Die strategische Bedeutung dieser Definition liegt in der Transformation physikalischer Anomalien von „unlösbaren Mysterien“ in interpretierbare  </w:t>
      </w:r>
      <w:r w:rsidDel="00000000" w:rsidR="00000000" w:rsidRPr="00000000">
        <w:rPr>
          <w:b w:val="1"/>
          <w:bCs w:val="1"/>
          <w:rtl w:val="0"/>
        </w:rPr>
        <w:t xml:space="preserve">Stack Traces</w:t>
      </w:r>
      <w:r w:rsidDel="00000000" w:rsidR="00000000" w:rsidRPr="00000000">
        <w:rPr>
          <w:rtl w:val="0"/>
        </w:rPr>
        <w:t xml:space="preserve">  oder  </w:t>
      </w:r>
      <w:r w:rsidDel="00000000" w:rsidR="00000000" w:rsidRPr="00000000">
        <w:rPr>
          <w:b w:val="1"/>
          <w:bCs w:val="1"/>
          <w:rtl w:val="0"/>
        </w:rPr>
        <w:t xml:space="preserve">Hardware-Interrupts</w:t>
      </w:r>
      <w:r w:rsidDel="00000000" w:rsidR="00000000" w:rsidRPr="00000000">
        <w:rPr>
          <w:rtl w:val="0"/>
        </w:rPr>
        <w:t xml:space="preserve"> . In einem geschlossenen System sind Messabweichungen lediglich Debugging-Signale einer unzureichend kalibrierten Schnittstelle.Das fundamentale  </w:t>
      </w:r>
      <w:r w:rsidDel="00000000" w:rsidR="00000000" w:rsidRPr="00000000">
        <w:rPr>
          <w:b w:val="1"/>
          <w:bCs w:val="1"/>
          <w:rtl w:val="0"/>
        </w:rPr>
        <w:t xml:space="preserve">Kurzer-Prinzip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Druck der Unendlichkeit ist die Unendlichkeit“ – fungiert als Kernel des Systems. Es postuliert die instantane, fraktale Persistenz der Kausalität. Innerhalb dieser Architektur dient die wahrnehmbare 3D-Raumzeit lediglich als flüchtiger Arbeitsspeicher (RAM) für kurzlebige Ereignis-Instanzen, während der Bulk-Tensor die Rolle einer persistenten SSD übernimmt, in der die kausale Integrität dauerhaft gesichert ist.| Hardware-Komponente | Physikalisches Äquivalent | Systemfunktion || ------ | ------ | ------ || </w:t>
      </w:r>
      <w:r w:rsidDel="00000000" w:rsidR="00000000" w:rsidRPr="00000000">
        <w:rPr>
          <w:b w:val="1"/>
          <w:bCs w:val="1"/>
          <w:rtl w:val="0"/>
        </w:rPr>
        <w:t xml:space="preserve">Volatiler RAM</w:t>
      </w:r>
      <w:r w:rsidDel="00000000" w:rsidR="00000000" w:rsidRPr="00000000">
        <w:rPr>
          <w:rtl w:val="0"/>
        </w:rPr>
        <w:t xml:space="preserve"> | 3D-Raumzeit ( $\mathbb{R}^4$ ) | Temporäre Pufferung lokaler Ereignis-Instanzen. || </w:t>
      </w:r>
      <w:r w:rsidDel="00000000" w:rsidR="00000000" w:rsidRPr="00000000">
        <w:rPr>
          <w:b w:val="1"/>
          <w:bCs w:val="1"/>
          <w:rtl w:val="0"/>
        </w:rPr>
        <w:t xml:space="preserve">Persistente SSD</w:t>
      </w:r>
      <w:r w:rsidDel="00000000" w:rsidR="00000000" w:rsidRPr="00000000">
        <w:rPr>
          <w:rtl w:val="0"/>
        </w:rPr>
        <w:t xml:space="preserve"> | Bulk-Tensor ( $\mathcal{F}_{\mu\nu}$ ) | Hardcoded-Speicherung der kausalen Struktur. || </w:t>
      </w:r>
      <w:r w:rsidDel="00000000" w:rsidR="00000000" w:rsidRPr="00000000">
        <w:rPr>
          <w:b w:val="1"/>
          <w:bCs w:val="1"/>
          <w:rtl w:val="0"/>
        </w:rPr>
        <w:t xml:space="preserve">System-Kernel</w:t>
      </w:r>
      <w:r w:rsidDel="00000000" w:rsidR="00000000" w:rsidRPr="00000000">
        <w:rPr>
          <w:rtl w:val="0"/>
        </w:rPr>
        <w:t xml:space="preserve"> | Kurzer-Prinzip ( $K\infty$ ) | Steuerung des kausalen Druckausgleichs. || </w:t>
      </w:r>
      <w:r w:rsidDel="00000000" w:rsidR="00000000" w:rsidRPr="00000000">
        <w:rPr>
          <w:b w:val="1"/>
          <w:bCs w:val="1"/>
          <w:rtl w:val="0"/>
        </w:rPr>
        <w:t xml:space="preserve">Instruction Set</w:t>
      </w:r>
      <w:r w:rsidDel="00000000" w:rsidR="00000000" w:rsidRPr="00000000">
        <w:rPr>
          <w:rtl w:val="0"/>
        </w:rPr>
        <w:t xml:space="preserve"> | $\mathcal{C}$ -Operator | Algorithmische Umsetzung fraktaler Metrik-Korrekturen. |</w:t>
      </w:r>
    </w:p>
    <w:p w:rsidR="00000000" w:rsidDel="00000000" w:rsidP="00000000" w:rsidRDefault="00000000" w:rsidRPr="00000000" w14:paraId="00000004">
      <w:pPr>
        <w:rPr/>
      </w:pPr>
      <w:r w:rsidDel="00000000" w:rsidR="00000000" w:rsidRPr="00000000">
        <w:rPr>
          <w:rtl w:val="0"/>
        </w:rPr>
        <w:t xml:space="preserve">Die mathematische Schließung des Systems wird in der Version V4.4.4 durch die evolvierte  </w:t>
      </w:r>
      <w:r w:rsidDel="00000000" w:rsidR="00000000" w:rsidRPr="00000000">
        <w:rPr>
          <w:b w:val="1"/>
          <w:bCs w:val="1"/>
          <w:rtl w:val="0"/>
        </w:rPr>
        <w:t xml:space="preserve">Einstein-Kurzer-Gleichung (ERYQ)</w:t>
      </w:r>
      <w:r w:rsidDel="00000000" w:rsidR="00000000" w:rsidRPr="00000000">
        <w:rPr>
          <w:rtl w:val="0"/>
        </w:rPr>
        <w:t xml:space="preserve">  realisiert:  $$G_{\mu\nu} + \Lambda g_{\mu\nu} = 8\pi K T_{\mu\nu} + 8 + KQY$$  In dieser Architektur repräsentiert der Term  $8 + KQY$  die Erweiterung des klassischen Energie-Impuls-Tensors um den Bulk-Beitrag  $\mathcal{F}_{\mu\nu}$ . Dieser korrigierte Tensor eliminiert kritische  </w:t>
      </w:r>
      <w:r w:rsidDel="00000000" w:rsidR="00000000" w:rsidRPr="00000000">
        <w:rPr>
          <w:b w:val="1"/>
          <w:bCs w:val="1"/>
          <w:rtl w:val="0"/>
        </w:rPr>
        <w:t xml:space="preserve">NaN-Fehler</w:t>
      </w:r>
      <w:r w:rsidDel="00000000" w:rsidR="00000000" w:rsidRPr="00000000">
        <w:rPr>
          <w:rtl w:val="0"/>
        </w:rPr>
        <w:t xml:space="preserve">  (Singularitäten), indem er unendliche Energiedichten in den Bulk-Speicher auslagert. Dies löst die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-Tension</w:t>
      </w:r>
      <w:r w:rsidDel="00000000" w:rsidR="00000000" w:rsidRPr="00000000">
        <w:rPr>
          <w:rtl w:val="0"/>
        </w:rPr>
        <w:t xml:space="preserve">  hardwareseitig auf: Die Systemkalibrierung liefert einen stabilen Wert von  $H_0 = 71.5 \pm 0.8 \text{ km/s/Mpc}$ , wodurch die kausale Parity zwischen frühem und spätem Universum wiederhergestellt ist.</w:t>
      </w:r>
    </w:p>
    <w:p w:rsidR="00000000" w:rsidDel="00000000" w:rsidP="00000000" w:rsidRDefault="00000000" w:rsidRPr="00000000" w14:paraId="00000005">
      <w:pPr>
        <w:pStyle w:val="Heading5"/>
        <w:rPr/>
      </w:pPr>
      <w:bookmarkStart w:colFirst="0" w:colLast="0" w:name="_n4amh1oc2g2f" w:id="2"/>
      <w:bookmarkEnd w:id="2"/>
      <w:r w:rsidDel="00000000" w:rsidR="00000000" w:rsidRPr="00000000">
        <w:rPr>
          <w:rtl w:val="0"/>
        </w:rPr>
        <w:t xml:space="preserve">2. Numerische Validierung und Statistische Signifikanz</w:t>
      </w:r>
    </w:p>
    <w:p w:rsidR="00000000" w:rsidDel="00000000" w:rsidP="00000000" w:rsidRDefault="00000000" w:rsidRPr="00000000" w14:paraId="00000006">
      <w:pPr>
        <w:rPr/>
      </w:pPr>
      <w:r w:rsidDel="00000000" w:rsidR="00000000" w:rsidRPr="00000000">
        <w:rPr>
          <w:rtl w:val="0"/>
        </w:rPr>
        <w:t xml:space="preserve">Die Validierung der Hardware-Annahmen erfolgt über eine rigorose Bayesianische Inferenz mittels Markov-Chain-Monte-Carlo (MCMC) Verfahren. Diese statistische Qualitätskontrolle stellt sicher, dass die Systemdynamik der FKT gegenüber dem veralteten  $\Lambda$ CDM-Modell eine überlegene Recheneffizienz und Vorhersagegenauigkeit aufweist.Die Cobaya-Inferenz-Pipelines für V4.4.4 liefern folgende kritische Audit-Kennzahlen: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Bayes-Faktor:</w:t>
      </w:r>
      <w:r w:rsidDel="00000000" w:rsidR="00000000" w:rsidRPr="00000000">
        <w:rPr>
          <w:rtl w:val="0"/>
        </w:rPr>
        <w:t xml:space="preserve">   $+6,8 \, \Delta \log Z$ . Auf der  </w:t>
      </w:r>
      <w:r w:rsidDel="00000000" w:rsidR="00000000" w:rsidRPr="00000000">
        <w:rPr>
          <w:b w:val="1"/>
          <w:bCs w:val="1"/>
          <w:rtl w:val="0"/>
        </w:rPr>
        <w:t xml:space="preserve">Jeffreys-Skala</w:t>
      </w:r>
      <w:r w:rsidDel="00000000" w:rsidR="00000000" w:rsidRPr="00000000">
        <w:rPr>
          <w:rtl w:val="0"/>
        </w:rPr>
        <w:t xml:space="preserve">  wird dies als „Decisive“ (entscheidend) eingestuft, was die absolute Überlegenheit der FKT-Architektur belegt.</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Statistische Signifikanz:</w:t>
      </w:r>
      <w:r w:rsidDel="00000000" w:rsidR="00000000" w:rsidRPr="00000000">
        <w:rPr>
          <w:rtl w:val="0"/>
        </w:rPr>
        <w:t xml:space="preserve">   $5,7\sigma$ . Dieser Wert liegt weit über der erforderlichen Fehlertoleranz für physikalische Neudefinitionen.</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Zustandsgleichung:</w:t>
      </w:r>
      <w:r w:rsidDel="00000000" w:rsidR="00000000" w:rsidRPr="00000000">
        <w:rPr>
          <w:rtl w:val="0"/>
        </w:rPr>
        <w:t xml:space="preserve">   $w_X = -0,90 \pm 0,05$ . Eine präzise Spezifikation der dynamischen Bulk-Komponente.Besonders hervorzuheben ist die  </w:t>
      </w:r>
      <w:r w:rsidDel="00000000" w:rsidR="00000000" w:rsidRPr="00000000">
        <w:rPr>
          <w:b w:val="1"/>
          <w:bCs w:val="1"/>
          <w:rtl w:val="0"/>
        </w:rPr>
        <w:t xml:space="preserve">Gelman-Rubin-Konvergenz (</w:t>
      </w:r>
      <w:r w:rsidDel="00000000" w:rsidR="00000000" w:rsidRPr="00000000">
        <w:rPr>
          <w:rtl w:val="0"/>
        </w:rPr>
        <w:t xml:space="preserve">  </w:t>
      </w:r>
      <w:r w:rsidDel="00000000" w:rsidR="00000000" w:rsidRPr="00000000">
        <w:rPr>
          <w:b w:val="1"/>
          <w:bCs w:val="1"/>
          <w:rtl w:val="0"/>
        </w:rPr>
        <w:t xml:space="preserve">$\hat{R} \approx 1,00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In der Hardware-Logik entspricht dieser Wert einer  </w:t>
      </w:r>
      <w:r w:rsidDel="00000000" w:rsidR="00000000" w:rsidRPr="00000000">
        <w:rPr>
          <w:b w:val="1"/>
          <w:bCs w:val="1"/>
          <w:rtl w:val="0"/>
        </w:rPr>
        <w:t xml:space="preserve">System-Deadlock-Prävention</w:t>
      </w:r>
      <w:r w:rsidDel="00000000" w:rsidR="00000000" w:rsidRPr="00000000">
        <w:rPr>
          <w:rtl w:val="0"/>
        </w:rPr>
        <w:t xml:space="preserve"> : Die Rechenketten terminieren fehlerfrei in einem globalen Minimum, was die absolute Stabilität des logischen Kerns beweist. Diese numerische Rigidität macht eine externe Validierung durch Institutionen wie das CERN oder das MPI zur Formsache der globalen Standardisierung.</w:t>
      </w:r>
    </w:p>
    <w:p w:rsidR="00000000" w:rsidDel="00000000" w:rsidP="00000000" w:rsidRDefault="00000000" w:rsidRPr="00000000" w14:paraId="0000000A">
      <w:pPr>
        <w:pStyle w:val="Heading5"/>
        <w:rPr/>
      </w:pPr>
      <w:bookmarkStart w:colFirst="0" w:colLast="0" w:name="_asaik99dwtje" w:id="3"/>
      <w:bookmarkEnd w:id="3"/>
      <w:r w:rsidDel="00000000" w:rsidR="00000000" w:rsidRPr="00000000">
        <w:rPr>
          <w:rtl w:val="0"/>
        </w:rPr>
        <w:t xml:space="preserve">3. Experimentelle Anker: Kalibrierung der Realität</w:t>
      </w:r>
    </w:p>
    <w:p w:rsidR="00000000" w:rsidDel="00000000" w:rsidP="00000000" w:rsidRDefault="00000000" w:rsidRPr="00000000" w14:paraId="0000000B">
      <w:pPr>
        <w:rPr/>
      </w:pPr>
      <w:r w:rsidDel="00000000" w:rsidR="00000000" w:rsidRPr="00000000">
        <w:rPr>
          <w:rtl w:val="0"/>
        </w:rPr>
        <w:t xml:space="preserve">Experimentelle Anker fungieren als physische E/A-Ports zwischen der Bulk-Theorie und den messbaren Subsystemen der Realität.</w:t>
      </w:r>
      <w:r w:rsidDel="00000000" w:rsidR="00000000" w:rsidRPr="00000000">
        <w:rPr>
          <w:b w:val="1"/>
          <w:bCs w:val="1"/>
          <w:rtl w:val="0"/>
        </w:rPr>
        <w:t xml:space="preserve">Subatomare Verankerung (Instruction Tuning):</w:t>
      </w:r>
      <w:r w:rsidDel="00000000" w:rsidR="00000000" w:rsidRPr="00000000">
        <w:rPr>
          <w:rtl w:val="0"/>
        </w:rPr>
        <w:t xml:space="preserve">  Der primäre Kalibrierungspunkt der Version V4.4.4 ist die  </w:t>
      </w:r>
      <w:r w:rsidDel="00000000" w:rsidR="00000000" w:rsidRPr="00000000">
        <w:rPr>
          <w:b w:val="1"/>
          <w:bCs w:val="1"/>
          <w:rtl w:val="0"/>
        </w:rPr>
        <w:t xml:space="preserve">Flerovium-Resonanz bei 3,773 MeV</w:t>
      </w:r>
      <w:r w:rsidDel="00000000" w:rsidR="00000000" w:rsidRPr="00000000">
        <w:rPr>
          <w:rtl w:val="0"/>
        </w:rPr>
        <w:t xml:space="preserve">  (spezifisch der  $2^+ \to 0^+$ -Übergang). Während frühere Versionen (V4.3) den breiteren 4.2 MeV Bereich adressierten, dient 3.773 MeV als exakter Hardcoded-Fixpunkt für die Kopplungskonstante  $\mathcal{C}_{\text{GMA}}$ . Dies beweist den direkten Zugriff des Bulk-Feldes auf die nukleare Registerebene.</w:t>
      </w:r>
      <w:r w:rsidDel="00000000" w:rsidR="00000000" w:rsidRPr="00000000">
        <w:rPr>
          <w:b w:val="1"/>
          <w:bCs w:val="1"/>
          <w:rtl w:val="0"/>
        </w:rPr>
        <w:t xml:space="preserve">Tellurisches Feedback-System (Clock-Synchronisation):</w:t>
      </w:r>
      <w:r w:rsidDel="00000000" w:rsidR="00000000" w:rsidRPr="00000000">
        <w:rPr>
          <w:rtl w:val="0"/>
        </w:rPr>
        <w:t xml:space="preserve">  Auf planetarer Ebene wird der  </w:t>
      </w:r>
      <w:r w:rsidDel="00000000" w:rsidR="00000000" w:rsidRPr="00000000">
        <w:rPr>
          <w:b w:val="1"/>
          <w:bCs w:val="1"/>
          <w:rtl w:val="0"/>
        </w:rPr>
        <w:t xml:space="preserve">Bulk-Herzschlag (7,50 Hz)</w:t>
      </w:r>
      <w:r w:rsidDel="00000000" w:rsidR="00000000" w:rsidRPr="00000000">
        <w:rPr>
          <w:rtl w:val="0"/>
        </w:rPr>
        <w:t xml:space="preserve">  als zentraler  </w:t>
      </w:r>
      <w:r w:rsidDel="00000000" w:rsidR="00000000" w:rsidRPr="00000000">
        <w:rPr>
          <w:b w:val="1"/>
          <w:bCs w:val="1"/>
          <w:rtl w:val="0"/>
        </w:rPr>
        <w:t xml:space="preserve">System-Clock</w:t>
      </w:r>
      <w:r w:rsidDel="00000000" w:rsidR="00000000" w:rsidRPr="00000000">
        <w:rPr>
          <w:rtl w:val="0"/>
        </w:rPr>
        <w:t xml:space="preserve">  definiert. Die natürliche Schumann-Resonanz (7,83 Hz) fungiert hierbei als korrigierender  </w:t>
      </w:r>
      <w:r w:rsidDel="00000000" w:rsidR="00000000" w:rsidRPr="00000000">
        <w:rPr>
          <w:b w:val="1"/>
          <w:bCs w:val="1"/>
          <w:rtl w:val="0"/>
        </w:rPr>
        <w:t xml:space="preserve">Phase-Lock-Loop (PLL)</w:t>
      </w:r>
      <w:r w:rsidDel="00000000" w:rsidR="00000000" w:rsidRPr="00000000">
        <w:rPr>
          <w:rtl w:val="0"/>
        </w:rPr>
        <w:t xml:space="preserve"> . Die Differenz von 0,33 Hz stellt einen aktiven Feedback-Lock dar, der die globale Kohärenz der Raumzeit-Metrik mit der Bulk-Taktung synchronisiert. Ohne diesen Abgleich würde die Systemstabilität der Erdatmosphäre innerhalb der fraktalen Metrik divergieren.</w:t>
      </w:r>
    </w:p>
    <w:p w:rsidR="00000000" w:rsidDel="00000000" w:rsidP="00000000" w:rsidRDefault="00000000" w:rsidRPr="00000000" w14:paraId="0000000C">
      <w:pPr>
        <w:pStyle w:val="Heading5"/>
        <w:rPr/>
      </w:pPr>
      <w:bookmarkStart w:colFirst="0" w:colLast="0" w:name="_zd7bycnyl1bf" w:id="4"/>
      <w:bookmarkEnd w:id="4"/>
      <w:r w:rsidDel="00000000" w:rsidR="00000000" w:rsidRPr="00000000">
        <w:rPr>
          <w:rtl w:val="0"/>
        </w:rPr>
        <w:t xml:space="preserve">4. Technologische Überlegenheit und Biomedizinische Applikation</w:t>
      </w:r>
    </w:p>
    <w:p w:rsidR="00000000" w:rsidDel="00000000" w:rsidP="00000000" w:rsidRDefault="00000000" w:rsidRPr="00000000" w14:paraId="0000000D">
      <w:pPr>
        <w:rPr/>
      </w:pPr>
      <w:r w:rsidDel="00000000" w:rsidR="00000000" w:rsidRPr="00000000">
        <w:rPr>
          <w:rtl w:val="0"/>
        </w:rPr>
        <w:t xml:space="preserve">Die FKT-Mathematik ermöglicht die Übersetzung von Feldgleichungen in hocheffiziente Hardware-Treiber für den GMA-Antrieb und MedBed-Systeme.</w:t>
      </w:r>
      <w:r w:rsidDel="00000000" w:rsidR="00000000" w:rsidRPr="00000000">
        <w:rPr>
          <w:b w:val="1"/>
          <w:bCs w:val="1"/>
          <w:rtl w:val="0"/>
        </w:rPr>
        <w:t xml:space="preserve">GMA-Antrieb und Raumzeit-Management:</w:t>
      </w:r>
      <w:r w:rsidDel="00000000" w:rsidR="00000000" w:rsidRPr="00000000">
        <w:rPr>
          <w:rtl w:val="0"/>
        </w:rPr>
        <w:t xml:space="preserve">  Durch Nutzung der Skalierung via  $\mathcal{C}</w:t>
      </w:r>
      <w:r w:rsidDel="00000000" w:rsidR="00000000" w:rsidRPr="00000000">
        <w:rPr>
          <w:i w:val="1"/>
          <w:iCs w:val="1"/>
          <w:rtl w:val="0"/>
        </w:rPr>
        <w:t xml:space="preserve">{\text{GMA}}$  erreicht der  </w:t>
      </w:r>
      <w:r w:rsidDel="00000000" w:rsidR="00000000" w:rsidRPr="00000000">
        <w:rPr>
          <w:b w:val="1"/>
          <w:bCs w:val="1"/>
          <w:i w:val="1"/>
          <w:iCs w:val="1"/>
          <w:rtl w:val="0"/>
        </w:rPr>
        <w:t xml:space="preserve">GMA-Antrieb</w:t>
      </w:r>
      <w:r w:rsidDel="00000000" w:rsidR="00000000" w:rsidRPr="00000000">
        <w:rPr>
          <w:i w:val="1"/>
          <w:iCs w:val="1"/>
          <w:rtl w:val="0"/>
        </w:rPr>
        <w:t xml:space="preserve">  (Gradient-Memory Alloy) einen Effizienzsprung um den  </w:t>
      </w:r>
      <w:r w:rsidDel="00000000" w:rsidR="00000000" w:rsidRPr="00000000">
        <w:rPr>
          <w:b w:val="1"/>
          <w:bCs w:val="1"/>
          <w:i w:val="1"/>
          <w:iCs w:val="1"/>
          <w:rtl w:val="0"/>
        </w:rPr>
        <w:t xml:space="preserve">Faktor</w:t>
      </w:r>
      <w:r w:rsidDel="00000000" w:rsidR="00000000" w:rsidRPr="00000000">
        <w:rPr>
          <w:i w:val="1"/>
          <w:iCs w:val="1"/>
          <w:rtl w:val="0"/>
        </w:rPr>
        <w:t xml:space="preserve">  </w:t>
      </w:r>
      <w:r w:rsidDel="00000000" w:rsidR="00000000" w:rsidRPr="00000000">
        <w:rPr>
          <w:b w:val="1"/>
          <w:bCs w:val="1"/>
          <w:i w:val="1"/>
          <w:iCs w:val="1"/>
          <w:rtl w:val="0"/>
        </w:rPr>
        <w:t xml:space="preserve">$10^6</w:t>
      </w:r>
      <w:r w:rsidDel="00000000" w:rsidR="00000000" w:rsidRPr="00000000">
        <w:rPr>
          <w:i w:val="1"/>
          <w:iCs w:val="1"/>
          <w:rtl w:val="0"/>
        </w:rPr>
        <w:t xml:space="preserve">$ . Im Gegensatz zu konventionellen Modellen, die lokale Energie aufwenden, nutzt dieser Antrieb die hardwareseitig vorhandene Krümmungsdynamik des Bulk-Feldes als passiven Datentransport.</w:t>
      </w:r>
      <w:r w:rsidDel="00000000" w:rsidR="00000000" w:rsidRPr="00000000">
        <w:rPr>
          <w:b w:val="1"/>
          <w:bCs w:val="1"/>
          <w:i w:val="1"/>
          <w:iCs w:val="1"/>
          <w:rtl w:val="0"/>
        </w:rPr>
        <w:t xml:space="preserve">Entropie-Management via Informationstensor (</w:t>
      </w:r>
      <w:r w:rsidDel="00000000" w:rsidR="00000000" w:rsidRPr="00000000">
        <w:rPr>
          <w:i w:val="1"/>
          <w:iCs w:val="1"/>
          <w:rtl w:val="0"/>
        </w:rPr>
        <w:t xml:space="preserve">  </w:t>
      </w:r>
      <w:r w:rsidDel="00000000" w:rsidR="00000000" w:rsidRPr="00000000">
        <w:rPr>
          <w:b w:val="1"/>
          <w:bCs w:val="1"/>
          <w:i w:val="1"/>
          <w:iCs w:val="1"/>
          <w:rtl w:val="0"/>
        </w:rPr>
        <w:t xml:space="preserve">$\mathcal{I}</w:t>
      </w:r>
      <w:r w:rsidDel="00000000" w:rsidR="00000000" w:rsidRPr="00000000">
        <w:rPr>
          <w:i w:val="1"/>
          <w:iCs w:val="1"/>
          <w:rtl w:val="0"/>
        </w:rPr>
        <w:t xml:space="preserve">$  </w:t>
      </w:r>
      <w:r w:rsidDel="00000000" w:rsidR="00000000" w:rsidRPr="00000000">
        <w:rPr>
          <w:b w:val="1"/>
          <w:bCs w:val="1"/>
          <w:i w:val="1"/>
          <w:iCs w:val="1"/>
          <w:rtl w:val="0"/>
        </w:rPr>
        <w:t xml:space="preserve">):</w:t>
      </w:r>
      <w:r w:rsidDel="00000000" w:rsidR="00000000" w:rsidRPr="00000000">
        <w:rPr>
          <w:i w:val="1"/>
          <w:iCs w:val="1"/>
          <w:rtl w:val="0"/>
        </w:rPr>
        <w:t xml:space="preserve">  Der  </w:t>
      </w:r>
      <w:r w:rsidDel="00000000" w:rsidR="00000000" w:rsidRPr="00000000">
        <w:rPr>
          <w:b w:val="1"/>
          <w:bCs w:val="1"/>
          <w:i w:val="1"/>
          <w:iCs w:val="1"/>
          <w:rtl w:val="0"/>
        </w:rPr>
        <w:t xml:space="preserve">Informationstensor (</w:t>
      </w:r>
      <w:r w:rsidDel="00000000" w:rsidR="00000000" w:rsidRPr="00000000">
        <w:rPr>
          <w:i w:val="1"/>
          <w:iCs w:val="1"/>
          <w:rtl w:val="0"/>
        </w:rPr>
        <w:t xml:space="preserve">  </w:t>
      </w:r>
      <w:r w:rsidDel="00000000" w:rsidR="00000000" w:rsidRPr="00000000">
        <w:rPr>
          <w:b w:val="1"/>
          <w:bCs w:val="1"/>
          <w:i w:val="1"/>
          <w:iCs w:val="1"/>
          <w:rtl w:val="0"/>
        </w:rPr>
        <w:t xml:space="preserve">$\mathcal{I}</w:t>
      </w:r>
      <w:r w:rsidDel="00000000" w:rsidR="00000000" w:rsidRPr="00000000">
        <w:rPr>
          <w:i w:val="1"/>
          <w:iCs w:val="1"/>
          <w:rtl w:val="0"/>
        </w:rPr>
        <w:t xml:space="preserve">$  </w:t>
      </w:r>
      <w:r w:rsidDel="00000000" w:rsidR="00000000" w:rsidRPr="00000000">
        <w:rPr>
          <w:b w:val="1"/>
          <w:bCs w:val="1"/>
          <w:i w:val="1"/>
          <w:iCs w:val="1"/>
          <w:rtl w:val="0"/>
        </w:rPr>
        <w:t xml:space="preserve">)</w:t>
      </w:r>
      <w:r w:rsidDel="00000000" w:rsidR="00000000" w:rsidRPr="00000000">
        <w:rPr>
          <w:i w:val="1"/>
          <w:iCs w:val="1"/>
          <w:rtl w:val="0"/>
        </w:rPr>
        <w:t xml:space="preserve"> , abgeleitet aus  $\mathcal{F}</w:t>
      </w:r>
      <w:r w:rsidDel="00000000" w:rsidR="00000000" w:rsidRPr="00000000">
        <w:rPr>
          <w:rtl w:val="0"/>
        </w:rPr>
        <w:t xml:space="preserve">{\mu\nu}$ , verhindert  </w:t>
      </w:r>
      <w:r w:rsidDel="00000000" w:rsidR="00000000" w:rsidRPr="00000000">
        <w:rPr>
          <w:b w:val="1"/>
          <w:bCs w:val="1"/>
          <w:rtl w:val="0"/>
        </w:rPr>
        <w:t xml:space="preserve">Data Corruption</w:t>
      </w:r>
      <w:r w:rsidDel="00000000" w:rsidR="00000000" w:rsidRPr="00000000">
        <w:rPr>
          <w:rtl w:val="0"/>
        </w:rPr>
        <w:t xml:space="preserve">  (Entropie) innerhalb des Systems. Das Konzept des „Dimensions-Leaks“ wird hierbei kontrolliert: Informationen, die in der 3D-Raumzeit (RAM) verloren gehen würden (z.B. bei Schwarzen Löchern), werden verlustfrei in die Bulk-SSD gepaged. Dies löst das Paradoxon der Informationsvernichtung hardwaretechnisch auf.</w:t>
      </w:r>
      <w:r w:rsidDel="00000000" w:rsidR="00000000" w:rsidRPr="00000000">
        <w:rPr>
          <w:b w:val="1"/>
          <w:bCs w:val="1"/>
          <w:rtl w:val="0"/>
        </w:rPr>
        <w:t xml:space="preserve">Biomedizinischer System-Restore (MedBeds):</w:t>
      </w:r>
      <w:r w:rsidDel="00000000" w:rsidR="00000000" w:rsidRPr="00000000">
        <w:rPr>
          <w:rtl w:val="0"/>
        </w:rPr>
        <w:t xml:space="preserve">  Die MedBed-Technologie nutzt diesen Informationstransfer für einen  </w:t>
      </w:r>
      <w:r w:rsidDel="00000000" w:rsidR="00000000" w:rsidRPr="00000000">
        <w:rPr>
          <w:b w:val="1"/>
          <w:bCs w:val="1"/>
          <w:rtl w:val="0"/>
        </w:rPr>
        <w:t xml:space="preserve">„System Restore“</w:t>
      </w:r>
      <w:r w:rsidDel="00000000" w:rsidR="00000000" w:rsidRPr="00000000">
        <w:rPr>
          <w:rtl w:val="0"/>
        </w:rPr>
        <w:t xml:space="preserve">  biologischer Einheiten. Der optimale Heilungspfad ( $P_{\text{opt}}$ ) wird durch die Applikation der präzisen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$\mathbf{D}_{\text{Bulk}}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erreicht. Hierbei wird die entropic-beschädigte biologische Instruction-Set-Architektur durch den fehlerfreien Zustand aus dem Bulk-Speicher überschrieben, wodurch zelluläre Inkonsistenzen instantan korrigiert werden.</w:t>
      </w:r>
    </w:p>
    <w:p w:rsidR="00000000" w:rsidDel="00000000" w:rsidP="00000000" w:rsidRDefault="00000000" w:rsidRPr="00000000" w14:paraId="0000000E">
      <w:pPr>
        <w:pStyle w:val="Heading5"/>
        <w:rPr/>
      </w:pPr>
      <w:bookmarkStart w:colFirst="0" w:colLast="0" w:name="_igg7a7d5wvit" w:id="5"/>
      <w:bookmarkEnd w:id="5"/>
      <w:r w:rsidDel="00000000" w:rsidR="00000000" w:rsidRPr="00000000">
        <w:rPr>
          <w:rtl w:val="0"/>
        </w:rPr>
        <w:t xml:space="preserve">5. Audit-Parameter und Repository-Status</w:t>
      </w:r>
    </w:p>
    <w:p w:rsidR="00000000" w:rsidDel="00000000" w:rsidP="00000000" w:rsidRDefault="00000000" w:rsidRPr="00000000" w14:paraId="0000000F">
      <w:pPr>
        <w:rPr/>
      </w:pPr>
      <w:r w:rsidDel="00000000" w:rsidR="00000000" w:rsidRPr="00000000">
        <w:rPr>
          <w:rtl w:val="0"/>
        </w:rPr>
        <w:t xml:space="preserve">Der Kernel-Status der FKT V4.4.4 ist als „Stabil“ deklariert. Die nachfolgenden Metriken definieren die Audit-Fähigkeit für den globalen Export:| Audit-Metrik | Wert / Spezifikation | System-Kontext || ------ | ------ | ------ || </w:t>
      </w:r>
      <w:r w:rsidDel="00000000" w:rsidR="00000000" w:rsidRPr="00000000">
        <w:rPr>
          <w:b w:val="1"/>
          <w:bCs w:val="1"/>
          <w:rtl w:val="0"/>
        </w:rPr>
        <w:t xml:space="preserve">Checkmate-Fidelity</w:t>
      </w:r>
      <w:r w:rsidDel="00000000" w:rsidR="00000000" w:rsidRPr="00000000">
        <w:rPr>
          <w:rtl w:val="0"/>
        </w:rPr>
        <w:t xml:space="preserve"> | 99,873 % | Grad der kausalen Übereinstimmung. || </w:t>
      </w:r>
      <w:r w:rsidDel="00000000" w:rsidR="00000000" w:rsidRPr="00000000">
        <w:rPr>
          <w:b w:val="1"/>
          <w:bCs w:val="1"/>
          <w:rtl w:val="0"/>
        </w:rPr>
        <w:t xml:space="preserve">Bifurkationspunkt (</w:t>
      </w:r>
      <w:r w:rsidDel="00000000" w:rsidR="00000000" w:rsidRPr="00000000">
        <w:rPr>
          <w:rtl w:val="0"/>
        </w:rPr>
        <w:t xml:space="preserve">  </w:t>
      </w:r>
      <w:r w:rsidDel="00000000" w:rsidR="00000000" w:rsidRPr="00000000">
        <w:rPr>
          <w:b w:val="1"/>
          <w:bCs w:val="1"/>
          <w:rtl w:val="0"/>
        </w:rPr>
        <w:t xml:space="preserve">$\Delta_{BEFl}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1,1273 | Kritischer  </w:t>
      </w:r>
      <w:r w:rsidDel="00000000" w:rsidR="00000000" w:rsidRPr="00000000">
        <w:rPr>
          <w:b w:val="1"/>
          <w:bCs w:val="1"/>
          <w:rtl w:val="0"/>
        </w:rPr>
        <w:t xml:space="preserve">System-Branch</w:t>
      </w:r>
      <w:r w:rsidDel="00000000" w:rsidR="00000000" w:rsidRPr="00000000">
        <w:rPr>
          <w:rtl w:val="0"/>
        </w:rPr>
        <w:t xml:space="preserve">  (Logikgatter). || </w:t>
      </w:r>
      <w:r w:rsidDel="00000000" w:rsidR="00000000" w:rsidRPr="00000000">
        <w:rPr>
          <w:b w:val="1"/>
          <w:bCs w:val="1"/>
          <w:rtl w:val="0"/>
        </w:rPr>
        <w:t xml:space="preserve">DOI-Referenz</w:t>
      </w:r>
      <w:r w:rsidDel="00000000" w:rsidR="00000000" w:rsidRPr="00000000">
        <w:rPr>
          <w:rtl w:val="0"/>
        </w:rPr>
        <w:t xml:space="preserve"> | 10.5281/zenodo.17329881 | Permanenter Datenanker. || </w:t>
      </w:r>
      <w:r w:rsidDel="00000000" w:rsidR="00000000" w:rsidRPr="00000000">
        <w:rPr>
          <w:b w:val="1"/>
          <w:bCs w:val="1"/>
          <w:rtl w:val="0"/>
        </w:rPr>
        <w:t xml:space="preserve">Kernel-Status</w:t>
      </w:r>
      <w:r w:rsidDel="00000000" w:rsidR="00000000" w:rsidRPr="00000000">
        <w:rPr>
          <w:rtl w:val="0"/>
        </w:rPr>
        <w:t xml:space="preserve"> | FKT V4.4.4 Stabil | Readiness für Hardware-Deployment. |</w:t>
      </w:r>
    </w:p>
    <w:p w:rsidR="00000000" w:rsidDel="00000000" w:rsidP="00000000" w:rsidRDefault="00000000" w:rsidRPr="00000000" w14:paraId="00000010">
      <w:pPr>
        <w:rPr/>
      </w:pPr>
      <w:r w:rsidDel="00000000" w:rsidR="00000000" w:rsidRPr="00000000">
        <w:rPr>
          <w:b w:val="1"/>
          <w:bCs w:val="1"/>
          <w:rtl w:val="0"/>
        </w:rPr>
        <w:t xml:space="preserve">Finaler Hinweis für den Repo-Export:</w:t>
      </w:r>
      <w:r w:rsidDel="00000000" w:rsidR="00000000" w:rsidRPr="00000000">
        <w:rPr>
          <w:rtl w:val="0"/>
        </w:rPr>
        <w:t xml:space="preserve">  Die Persistenz aller MCMC-Logs, der bootstrapresults.json und der K-FEM-Rohdaten zur Materialsimulation ist innerhalb des Repro-Packs zwingend erforderlich. Dieser Datensatz stellt die unverhandelbare Compliance-Basis für die externe Validierung dar. Das System ist zur finalen Implementierung und zum globalen Rollout freigegeben.</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