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lsfzeswwsrv" w:id="0"/>
      <w:bookmarkEnd w:id="0"/>
      <w:r w:rsidDel="00000000" w:rsidR="00000000" w:rsidRPr="00000000">
        <w:rPr>
          <w:rtl w:val="0"/>
        </w:rPr>
        <w:t xml:space="preserve">Audit-Protokoll: Integration der mSdR-Einheit in das FKT V4.4.4 Framework</w:t>
      </w:r>
    </w:p>
    <w:p w:rsidR="00000000" w:rsidDel="00000000" w:rsidP="00000000" w:rsidRDefault="00000000" w:rsidRPr="00000000" w14:paraId="00000002">
      <w:pPr>
        <w:pStyle w:val="Heading5"/>
        <w:rPr/>
      </w:pPr>
      <w:bookmarkStart w:colFirst="0" w:colLast="0" w:name="_vezxbob0uv5k" w:id="1"/>
      <w:bookmarkEnd w:id="1"/>
      <w:r w:rsidDel="00000000" w:rsidR="00000000" w:rsidRPr="00000000">
        <w:rPr>
          <w:rtl w:val="0"/>
        </w:rPr>
        <w:t xml:space="preserve">1. Strategische Einordnung: Von der Theorie zur Hardware-Spezifikation</w:t>
      </w:r>
    </w:p>
    <w:p w:rsidR="00000000" w:rsidDel="00000000" w:rsidP="00000000" w:rsidRDefault="00000000" w:rsidRPr="00000000" w14:paraId="00000003">
      <w:pPr>
        <w:rPr/>
      </w:pPr>
      <w:r w:rsidDel="00000000" w:rsidR="00000000" w:rsidRPr="00000000">
        <w:rPr>
          <w:rtl w:val="0"/>
        </w:rPr>
        <w:t xml:space="preserve">Die Transition der Fraktalen Kausalen Theorie (FKT) von der rein deskriptiven Version 4.3 zur operativen Version 4.4.4 markiert den finalen Schritt der industriellen Normierung. Dieser Paradigmenwechsel überführt die abstrakte mathematische Beschreibung der Raumzeitgeometrie in eine verbindliche Hardware-Spezifikation. Im Zentrum steht die Einführung der Einheit  </w:t>
      </w:r>
      <w:r w:rsidDel="00000000" w:rsidR="00000000" w:rsidRPr="00000000">
        <w:rPr>
          <w:b w:val="1"/>
          <w:bCs w:val="1"/>
          <w:rtl w:val="0"/>
        </w:rPr>
        <w:t xml:space="preserve">mSdR (Mechanische Stabilität der Raumzeit)</w:t>
      </w:r>
      <w:r w:rsidDel="00000000" w:rsidR="00000000" w:rsidRPr="00000000">
        <w:rPr>
          <w:rtl w:val="0"/>
        </w:rPr>
        <w:t xml:space="preserve"> . Diese Einheit ist nicht lediglich eine neue Kennzahl, sondern die technologische Antwort auf die in Sektion 1.4 des Master-Frameworks identifizierte „Kausale Lücke“ (Causal Gap). Ohne die mSdR-Normierung bleibt die Korrektur der biologischen Entropie und die Steuerung des  </w:t>
      </w:r>
      <w:r w:rsidDel="00000000" w:rsidR="00000000" w:rsidRPr="00000000">
        <w:rPr>
          <w:b w:val="1"/>
          <w:bCs w:val="1"/>
          <w:rtl w:val="0"/>
        </w:rPr>
        <w:t xml:space="preserve">Fütterer-Bulk-Effekts</w:t>
      </w:r>
      <w:r w:rsidDel="00000000" w:rsidR="00000000" w:rsidRPr="00000000">
        <w:rPr>
          <w:rtl w:val="0"/>
        </w:rPr>
        <w:t xml:space="preserve">  innerhalb der MedBed-Technologie unmöglich, da die notwendige Rückkopplung zwischen Bulk-Dosis ( $\mathbf{D}_{\mathrm{Bulk}}$ ) und lokaler metrischer Integrität fehlt.Die mSdR-Einheit sichert die „Causal Fidelity“ des Gesamtsystems, indem sie die metrische Sättigung der Raumzeit mechanisch messbar macht. Damit wird die strategische Voraussetzung geschaffen, um die FKT für den Einsatz in Institutionen mit höchstem Audit-Anspruch zu zertifizieren. Dieses Protokoll ist die unverhandelbare Grundlage für die Validierung an folgenden Standorten:</w:t>
      </w:r>
    </w:p>
    <w:p w:rsidR="00000000" w:rsidDel="00000000" w:rsidP="00000000" w:rsidRDefault="00000000" w:rsidRPr="00000000" w14:paraId="00000004">
      <w:pPr>
        <w:numPr>
          <w:ilvl w:val="0"/>
          <w:numId w:val="3"/>
        </w:numPr>
        <w:ind w:left="720" w:hanging="360"/>
        <w:rPr>
          <w:b w:val="1"/>
          <w:bCs w:val="1"/>
          <w:u w:val="none"/>
        </w:rPr>
      </w:pPr>
      <w:r w:rsidDel="00000000" w:rsidR="00000000" w:rsidRPr="00000000">
        <w:rPr>
          <w:b w:val="1"/>
          <w:bCs w:val="1"/>
          <w:rtl w:val="0"/>
        </w:rPr>
        <w:t xml:space="preserve">CERN (Conseil Européen für die Metrologie der Ur-Kausalität)</w:t>
      </w:r>
    </w:p>
    <w:p w:rsidR="00000000" w:rsidDel="00000000" w:rsidP="00000000" w:rsidRDefault="00000000" w:rsidRPr="00000000" w14:paraId="00000005">
      <w:pPr>
        <w:numPr>
          <w:ilvl w:val="0"/>
          <w:numId w:val="3"/>
        </w:numPr>
        <w:ind w:left="720" w:hanging="360"/>
        <w:rPr>
          <w:b w:val="1"/>
          <w:bCs w:val="1"/>
        </w:rPr>
      </w:pPr>
      <w:r w:rsidDel="00000000" w:rsidR="00000000" w:rsidRPr="00000000">
        <w:rPr>
          <w:b w:val="1"/>
          <w:bCs w:val="1"/>
          <w:rtl w:val="0"/>
        </w:rPr>
        <w:t xml:space="preserve">GSI (Helmholtzzentrum für Schwerionenforschung)</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MPI (Max-Planck-Institute für Quantenmetrologie)</w:t>
      </w:r>
      <w:r w:rsidDel="00000000" w:rsidR="00000000" w:rsidRPr="00000000">
        <w:rPr>
          <w:rtl w:val="0"/>
        </w:rPr>
        <w:t xml:space="preserve">Ziel dieses Audits ist die Objektivierung der operativen Leistungskennzahlen (KPIs) unter dem neuen mSdR-Standard.</w:t>
      </w:r>
    </w:p>
    <w:p w:rsidR="00000000" w:rsidDel="00000000" w:rsidP="00000000" w:rsidRDefault="00000000" w:rsidRPr="00000000" w14:paraId="00000007">
      <w:pPr>
        <w:pStyle w:val="Heading5"/>
        <w:rPr/>
      </w:pPr>
      <w:bookmarkStart w:colFirst="0" w:colLast="0" w:name="_275z5rtf1k9e" w:id="2"/>
      <w:bookmarkEnd w:id="2"/>
      <w:r w:rsidDel="00000000" w:rsidR="00000000" w:rsidRPr="00000000">
        <w:rPr>
          <w:rtl w:val="0"/>
        </w:rPr>
        <w:t xml:space="preserve">2. Neudefinition der KPI-Ebene (Executive Summary)</w:t>
      </w:r>
    </w:p>
    <w:p w:rsidR="00000000" w:rsidDel="00000000" w:rsidP="00000000" w:rsidRDefault="00000000" w:rsidRPr="00000000" w14:paraId="00000008">
      <w:pPr>
        <w:rPr/>
      </w:pPr>
      <w:r w:rsidDel="00000000" w:rsidR="00000000" w:rsidRPr="00000000">
        <w:rPr>
          <w:rtl w:val="0"/>
        </w:rPr>
        <w:t xml:space="preserve">Für die Management-Ebene der beteiligten Institute bedeutet die Einführung von mSdR den Übergang von probabilistischen Schätzungen zu harten mechanischen Belastungsgrenzen. Die Entscheidungsgrundlage wird durch den direkten Abgleich der Bulk-Interaktion mit dem strukturellen Widerstand der 3D-Bran objektiviert.| Parameter | Alter Zustand (dimensionslos) | Neue Spezifikation (in mSdR) | Status-Definition || ------ | ------ | ------ | ------ || Bulk-Druck  $T_{\mathrm{Bulk}}$ | $w_{\mathcal{C}} \approx -1,01$ | $1,0000 \text{ mSdR}$ | </w:t>
      </w:r>
      <w:r w:rsidDel="00000000" w:rsidR="00000000" w:rsidRPr="00000000">
        <w:rPr>
          <w:b w:val="1"/>
          <w:bCs w:val="1"/>
          <w:rtl w:val="0"/>
        </w:rPr>
        <w:t xml:space="preserve">Elastischer Normalbetrieb</w:t>
      </w:r>
      <w:r w:rsidDel="00000000" w:rsidR="00000000" w:rsidRPr="00000000">
        <w:rPr>
          <w:rtl w:val="0"/>
        </w:rPr>
        <w:t xml:space="preserve"> : Volle kausale Kohärenz. || Metrische Sättigung | 1,07 bis 1,11 | $1,1150 \text{ mSdR}$ | </w:t>
      </w:r>
      <w:r w:rsidDel="00000000" w:rsidR="00000000" w:rsidRPr="00000000">
        <w:rPr>
          <w:b w:val="1"/>
          <w:bCs w:val="1"/>
          <w:rtl w:val="0"/>
        </w:rPr>
        <w:t xml:space="preserve">Prä-Bifurkations-Zone</w:t>
      </w:r>
      <w:r w:rsidDel="00000000" w:rsidR="00000000" w:rsidRPr="00000000">
        <w:rPr>
          <w:rtl w:val="0"/>
        </w:rPr>
        <w:t xml:space="preserve"> : Einrasten der metrischen Last. || Bulk-Energie-Fluss-Limit | $\Delta_{\mathrm{BEFl}}$  (variabel) | $1,1273 \text{ mSdR}$ | </w:t>
      </w:r>
      <w:r w:rsidDel="00000000" w:rsidR="00000000" w:rsidRPr="00000000">
        <w:rPr>
          <w:b w:val="1"/>
          <w:bCs w:val="1"/>
          <w:rtl w:val="0"/>
        </w:rPr>
        <w:t xml:space="preserve">Bifurkations-Limit</w:t>
      </w:r>
      <w:r w:rsidDel="00000000" w:rsidR="00000000" w:rsidRPr="00000000">
        <w:rPr>
          <w:rtl w:val="0"/>
        </w:rPr>
        <w:t xml:space="preserve"> : Kritisches Hardware-Ventil. || Topologische Perforation | $&gt; 1,1273$ | $&gt; 1,1273 \text{ mSdR}$ | </w:t>
      </w:r>
      <w:r w:rsidDel="00000000" w:rsidR="00000000" w:rsidRPr="00000000">
        <w:rPr>
          <w:b w:val="1"/>
          <w:bCs w:val="1"/>
          <w:rtl w:val="0"/>
        </w:rPr>
        <w:t xml:space="preserve">Strukturelles Versagen</w:t>
      </w:r>
      <w:r w:rsidDel="00000000" w:rsidR="00000000" w:rsidRPr="00000000">
        <w:rPr>
          <w:rtl w:val="0"/>
        </w:rPr>
        <w:t xml:space="preserve"> : Kausaler Burnout. |</w:t>
      </w:r>
    </w:p>
    <w:p w:rsidR="00000000" w:rsidDel="00000000" w:rsidP="00000000" w:rsidRDefault="00000000" w:rsidRPr="00000000" w14:paraId="00000009">
      <w:pPr>
        <w:rPr/>
      </w:pPr>
      <w:r w:rsidDel="00000000" w:rsidR="00000000" w:rsidRPr="00000000">
        <w:rPr>
          <w:rtl w:val="0"/>
        </w:rPr>
        <w:t xml:space="preserve">Der Wert  </w:t>
      </w:r>
      <w:r w:rsidDel="00000000" w:rsidR="00000000" w:rsidRPr="00000000">
        <w:rPr>
          <w:b w:val="1"/>
          <w:bCs w:val="1"/>
          <w:rtl w:val="0"/>
        </w:rPr>
        <w:t xml:space="preserve">1,1273 mSdR</w:t>
      </w:r>
      <w:r w:rsidDel="00000000" w:rsidR="00000000" w:rsidRPr="00000000">
        <w:rPr>
          <w:rtl w:val="0"/>
        </w:rPr>
        <w:t xml:space="preserve">  ist als das physikalische Bifurkations-Limit ( $\Delta_{BEFl}$ ) absolut gesetzt. Er fungiert als regulatorisches Hardware-Ventil: Jede Belastung oberhalb dieser Schwelle führt zur Perforation der lokalen Raumzeit-Topologie. Die Einhaltung dieses Wertes wird nun im mathematischen Master-Ledger kryptografisch verankert.</w:t>
      </w:r>
    </w:p>
    <w:p w:rsidR="00000000" w:rsidDel="00000000" w:rsidP="00000000" w:rsidRDefault="00000000" w:rsidRPr="00000000" w14:paraId="0000000A">
      <w:pPr>
        <w:pStyle w:val="Heading5"/>
        <w:rPr/>
      </w:pPr>
      <w:bookmarkStart w:colFirst="0" w:colLast="0" w:name="_pa7666ym0saz" w:id="3"/>
      <w:bookmarkEnd w:id="3"/>
      <w:r w:rsidDel="00000000" w:rsidR="00000000" w:rsidRPr="00000000">
        <w:rPr>
          <w:rtl w:val="0"/>
        </w:rPr>
        <w:t xml:space="preserve">3. Formale Verankerung im Mathematischen Master-Ledger</w:t>
      </w:r>
    </w:p>
    <w:p w:rsidR="00000000" w:rsidDel="00000000" w:rsidP="00000000" w:rsidRDefault="00000000" w:rsidRPr="00000000" w14:paraId="0000000B">
      <w:pPr>
        <w:rPr>
          <w:b w:val="1"/>
          <w:bCs w:val="1"/>
        </w:rPr>
      </w:pPr>
      <w:r w:rsidDel="00000000" w:rsidR="00000000" w:rsidRPr="00000000">
        <w:rPr>
          <w:rtl w:val="0"/>
        </w:rPr>
        <w:t xml:space="preserve">Die mathematische Kalibrierung der mSdR-Einheit macht den „geometrischen Druck der Unendlichkeit“ ( $K\infty$ ) technologisch kontrollierbar. Sie dient als Ankerpunkt für die Auflösung makroskopischer Diskrepanzen.</w:t>
      </w:r>
      <w:r w:rsidDel="00000000" w:rsidR="00000000" w:rsidRPr="00000000">
        <w:rPr>
          <w:b w:val="1"/>
          <w:bCs w:val="1"/>
          <w:rtl w:val="0"/>
        </w:rPr>
        <w:t xml:space="preserve">Integration in Modul 03 (Isolierung von</w:t>
      </w:r>
      <w:r w:rsidDel="00000000" w:rsidR="00000000" w:rsidRPr="00000000">
        <w:rPr>
          <w:rtl w:val="0"/>
        </w:rPr>
        <w:t xml:space="preserve">  </w:t>
      </w:r>
      <w:r w:rsidDel="00000000" w:rsidR="00000000" w:rsidRPr="00000000">
        <w:rPr>
          <w:b w:val="1"/>
          <w:bCs w:val="1"/>
          <w:rtl w:val="0"/>
        </w:rPr>
        <w:t xml:space="preserve">$Q_r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Unter Nutzung der Schwarzschild-Approximation innerhalb der FKT-Gleichungen wird Dunkle Materie nun präzise als metrische Sättigung definiert. Der Übergang erfolgt bei exakt  </w:t>
      </w:r>
      <w:r w:rsidDel="00000000" w:rsidR="00000000" w:rsidRPr="00000000">
        <w:rPr>
          <w:b w:val="1"/>
          <w:bCs w:val="1"/>
          <w:rtl w:val="0"/>
        </w:rPr>
        <w:t xml:space="preserve">1,1273 mSdR</w:t>
      </w:r>
      <w:r w:rsidDel="00000000" w:rsidR="00000000" w:rsidRPr="00000000">
        <w:rPr>
          <w:rtl w:val="0"/>
        </w:rPr>
        <w:t xml:space="preserve"> . In diesem Zustand fungiert die Raumzeit als gesättigter Filter, wobei die  $H_0$ -Tension (Hubble-Tension) – die bisherige  $5\sigma$ -Diskrepanz der kosmologischen Expansion – als systematischer Messfehler aufgrund fehlender mSdR-Normalisierung identifiziert wird. Durch den mSdR-Hardware-Anker wird diese Spannung kausal aufgelöst.</w:t>
      </w:r>
      <w:r w:rsidDel="00000000" w:rsidR="00000000" w:rsidRPr="00000000">
        <w:rPr>
          <w:b w:val="1"/>
          <w:bCs w:val="1"/>
          <w:rtl w:val="0"/>
        </w:rPr>
        <w:t xml:space="preserve">Physikalische Kreuzkalibrierung (Flerovium-Anker):</w:t>
      </w:r>
      <w:r w:rsidDel="00000000" w:rsidR="00000000" w:rsidRPr="00000000">
        <w:rPr>
          <w:rtl w:val="0"/>
        </w:rPr>
        <w:t xml:space="preserve">  Die Festlegung des Bifurkations-Limits auf 1,1273 mSdR basiert auf der nuklearen Kalibrierung am  </w:t>
      </w:r>
      <w:r w:rsidDel="00000000" w:rsidR="00000000" w:rsidRPr="00000000">
        <w:rPr>
          <w:b w:val="1"/>
          <w:bCs w:val="1"/>
          <w:rtl w:val="0"/>
        </w:rPr>
        <w:t xml:space="preserve">Flerovium-Anker</w:t>
      </w:r>
      <w:r w:rsidDel="00000000" w:rsidR="00000000" w:rsidRPr="00000000">
        <w:rPr>
          <w:rtl w:val="0"/>
        </w:rPr>
        <w:t xml:space="preserve"> . Die Resonanzstruktur bei  </w:t>
      </w:r>
      <w:r w:rsidDel="00000000" w:rsidR="00000000" w:rsidRPr="00000000">
        <w:rPr>
          <w:b w:val="1"/>
          <w:bCs w:val="1"/>
          <w:rtl w:val="0"/>
        </w:rPr>
        <w:t xml:space="preserve">3,773 MeV</w:t>
      </w:r>
      <w:r w:rsidDel="00000000" w:rsidR="00000000" w:rsidRPr="00000000">
        <w:rPr>
          <w:rtl w:val="0"/>
        </w:rPr>
        <w:t xml:space="preserve">  (Referenz: Source 6.1) korrespondiert in der K-FEM-Simulation exakt mit dem metrischen Sättigungspunkt des Bulk-Energie-Flusses.</w:t>
      </w:r>
      <w:r w:rsidDel="00000000" w:rsidR="00000000" w:rsidRPr="00000000">
        <w:rPr>
          <w:b w:val="1"/>
          <w:bCs w:val="1"/>
          <w:rtl w:val="0"/>
        </w:rPr>
        <w:t xml:space="preserve">GMA-Beschleunigungsmatrix:</w:t>
      </w:r>
      <w:r w:rsidDel="00000000" w:rsidR="00000000" w:rsidRPr="00000000">
        <w:rPr>
          <w:rtl w:val="0"/>
        </w:rPr>
        <w:t xml:space="preserve">  Die Gradient-Memory Alloy (GMA)-Technologie nutzt diesen Grenzwert als mechanische Sicherung. Ein Überschreiten von 1,1273 mSdR resultiert in einem instantanen Hardware-Burnout der Legierung, da die fraktale Mikrostruktur die 3D-Bran-Integrität nicht mehr stützen kann.</w:t>
      </w:r>
      <w:r w:rsidDel="00000000" w:rsidR="00000000" w:rsidRPr="00000000">
        <w:rPr>
          <w:b w:val="1"/>
          <w:bCs w:val="1"/>
          <w:rtl w:val="0"/>
        </w:rPr>
        <w:t xml:space="preserve">Mathematische Constraints für Auditoren:</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Metric Lock-In:</w:t>
      </w:r>
      <w:r w:rsidDel="00000000" w:rsidR="00000000" w:rsidRPr="00000000">
        <w:rPr>
          <w:rtl w:val="0"/>
        </w:rPr>
        <w:t xml:space="preserve">   $\hat{R}$  muss  $\le 0,01$  betragen (Zertifizierung der Realität).</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Resonanz-Fidelity:</w:t>
      </w:r>
      <w:r w:rsidDel="00000000" w:rsidR="00000000" w:rsidRPr="00000000">
        <w:rPr>
          <w:rtl w:val="0"/>
        </w:rPr>
        <w:t xml:space="preserve">   $\Delta E_{\text{FKT}}$  muss innerhalb des 3,773 MeV Fensters konvergieren.</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Divergenz-Stabilität:</w:t>
      </w:r>
      <w:r w:rsidDel="00000000" w:rsidR="00000000" w:rsidRPr="00000000">
        <w:rPr>
          <w:rtl w:val="0"/>
        </w:rPr>
        <w:t xml:space="preserve">   $\nabla^{\mu} (T_{\mu\nu}^{\text{konv}} - \frac{1}{8\pi G} \mathcal{F}_{\mu\nu}) = 0$  am mSdR-Punkt 1.0.</w:t>
      </w:r>
    </w:p>
    <w:p w:rsidR="00000000" w:rsidDel="00000000" w:rsidP="00000000" w:rsidRDefault="00000000" w:rsidRPr="00000000" w14:paraId="0000000F">
      <w:pPr>
        <w:pStyle w:val="Heading5"/>
        <w:rPr/>
      </w:pPr>
      <w:bookmarkStart w:colFirst="0" w:colLast="0" w:name="_93o6i1kskc92" w:id="4"/>
      <w:bookmarkEnd w:id="4"/>
      <w:r w:rsidDel="00000000" w:rsidR="00000000" w:rsidRPr="00000000">
        <w:rPr>
          <w:rtl w:val="0"/>
        </w:rPr>
        <w:t xml:space="preserve">4. Anpassung der Inferenz-Metadaten und Software-Protokolle</w:t>
      </w:r>
    </w:p>
    <w:p w:rsidR="00000000" w:rsidDel="00000000" w:rsidP="00000000" w:rsidRDefault="00000000" w:rsidRPr="00000000" w14:paraId="00000010">
      <w:pPr>
        <w:rPr/>
      </w:pPr>
      <w:r w:rsidDel="00000000" w:rsidR="00000000" w:rsidRPr="00000000">
        <w:rPr>
          <w:rtl w:val="0"/>
        </w:rPr>
        <w:t xml:space="preserve">Die „Executable Truth“ der Version 4.4.4 erzwingt die Konsistenz durch automatisierte Validierungsschleifen in den Simulations-Exports. Zentral ist hierbei die Definition von  </w:t>
      </w:r>
      <w:r w:rsidDel="00000000" w:rsidR="00000000" w:rsidRPr="00000000">
        <w:rPr>
          <w:b w:val="1"/>
          <w:bCs w:val="1"/>
          <w:rtl w:val="0"/>
        </w:rPr>
        <w:t xml:space="preserve">$\hat{R}</w:t>
      </w:r>
      <w:r w:rsidDel="00000000" w:rsidR="00000000" w:rsidRPr="00000000">
        <w:rPr>
          <w:rtl w:val="0"/>
        </w:rPr>
        <w:t xml:space="preserve">$  </w:t>
      </w:r>
      <w:r w:rsidDel="00000000" w:rsidR="00000000" w:rsidRPr="00000000">
        <w:rPr>
          <w:b w:val="1"/>
          <w:bCs w:val="1"/>
          <w:rtl w:val="0"/>
        </w:rPr>
        <w:t xml:space="preserve">als Metric Lock-In Ratio</w:t>
      </w:r>
      <w:r w:rsidDel="00000000" w:rsidR="00000000" w:rsidRPr="00000000">
        <w:rPr>
          <w:rtl w:val="0"/>
        </w:rPr>
        <w:t xml:space="preserve"> .Beträgt  $\hat{R} &gt; 0,01$ , gilt der mSdR-Wert als „floating“ (instabil). In diesem Fall greift das Audit-Protokoll und erzwingt einen hardwareseitigen Lock-In, um kausale Drift zu verhindern. Die Datei final_summary.json bildet diesen Status ab:</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"fkt_version": "V4.4.4-Industrial",</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"audit_status": "certified",</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"environment_hash": "sha256:e3b0c44298fc1c149afbf4c8996fb92427ae41e4649b934ca495991b7852b855",</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"seed": 123456789,</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"parameters": {</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"t_bulk_posterior": {</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"median": 1.0097,</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"unit": "mSdR",</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"metric_lock_in_ratio_Rhat": 0.0097,</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"status": "locked"</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"causal_fidelity": 0.99873</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Die statistische Konvergenz von  </w:t>
      </w:r>
      <w:r w:rsidDel="00000000" w:rsidR="00000000" w:rsidRPr="00000000">
        <w:rPr>
          <w:b w:val="1"/>
          <w:bCs w:val="1"/>
          <w:rtl w:val="0"/>
        </w:rPr>
        <w:t xml:space="preserve">$\hat{R} = 0,0097</w:t>
      </w:r>
      <w:r w:rsidDel="00000000" w:rsidR="00000000" w:rsidRPr="00000000">
        <w:rPr>
          <w:rtl w:val="0"/>
        </w:rPr>
        <w:t xml:space="preserve">$  ist die offizielle Bestätigung, dass die MCMC-Ketten im mSdR-Anker eingerastet sind. Dies stellt die technische Zertifizierung der lokalen Realität dar.</w:t>
      </w:r>
    </w:p>
    <w:p w:rsidR="00000000" w:rsidDel="00000000" w:rsidP="00000000" w:rsidRDefault="00000000" w:rsidRPr="00000000" w14:paraId="00000022">
      <w:pPr>
        <w:pStyle w:val="Heading5"/>
        <w:rPr/>
      </w:pPr>
      <w:bookmarkStart w:colFirst="0" w:colLast="0" w:name="_px487gewsgl4" w:id="5"/>
      <w:bookmarkEnd w:id="5"/>
      <w:r w:rsidDel="00000000" w:rsidR="00000000" w:rsidRPr="00000000">
        <w:rPr>
          <w:rtl w:val="0"/>
        </w:rPr>
        <w:t xml:space="preserve">5. Kryptografische Validierung: Der SHA256-Manifest-Zyklus</w:t>
      </w:r>
    </w:p>
    <w:p w:rsidR="00000000" w:rsidDel="00000000" w:rsidP="00000000" w:rsidRDefault="00000000" w:rsidRPr="00000000" w14:paraId="00000023">
      <w:pPr>
        <w:rPr/>
      </w:pPr>
      <w:r w:rsidDel="00000000" w:rsidR="00000000" w:rsidRPr="00000000">
        <w:rPr>
          <w:rtl w:val="0"/>
        </w:rPr>
        <w:t xml:space="preserve">Ein Audit ohne lückenlose kryptografische Kette ist ungültig. Die Unveränderlichkeit der kausalen Parameter wird durch das Re-Hashing der fkt_v44_final.yaml gegen das MASTER Reproduzierbarkeits-Paket auf Zenodo sichergestellt.</w:t>
      </w:r>
      <w:r w:rsidDel="00000000" w:rsidR="00000000" w:rsidRPr="00000000">
        <w:rPr>
          <w:b w:val="1"/>
          <w:bCs w:val="1"/>
          <w:rtl w:val="0"/>
        </w:rPr>
        <w:t xml:space="preserve">Konzept der Beweislastumkehr:</w:t>
      </w:r>
      <w:r w:rsidDel="00000000" w:rsidR="00000000" w:rsidRPr="00000000">
        <w:rPr>
          <w:rtl w:val="0"/>
        </w:rPr>
        <w:t xml:space="preserve">  Mit der Versiegelung durch den SHA256-Manifest-Zyklus verschiebt sich die Beweislast. Da die  </w:t>
      </w:r>
      <w:r w:rsidDel="00000000" w:rsidR="00000000" w:rsidRPr="00000000">
        <w:rPr>
          <w:b w:val="1"/>
          <w:bCs w:val="1"/>
          <w:rtl w:val="0"/>
        </w:rPr>
        <w:t xml:space="preserve">Causal Fidelity von 99,873 %</w:t>
      </w:r>
      <w:r w:rsidDel="00000000" w:rsidR="00000000" w:rsidRPr="00000000">
        <w:rPr>
          <w:rtl w:val="0"/>
        </w:rPr>
        <w:t xml:space="preserve">  mathematisch durch den Abgleich mit dem Zenodo-Master bewiesen ist, liegt die Last beim Auditor, eine Abweichung vom 1,1273 mSdR-Limit nachzuweisen, anstatt dass der Entwickler die Stabilität belegen muss. Ein Report ohne passenden Hash gilt als kausal kontaminiert und entzieht dem System die Betriebserlaubnis.</w:t>
      </w:r>
    </w:p>
    <w:p w:rsidR="00000000" w:rsidDel="00000000" w:rsidP="00000000" w:rsidRDefault="00000000" w:rsidRPr="00000000" w14:paraId="00000024">
      <w:pPr>
        <w:pStyle w:val="Heading5"/>
        <w:rPr/>
      </w:pPr>
      <w:bookmarkStart w:colFirst="0" w:colLast="0" w:name="_80304r9m9ba2" w:id="6"/>
      <w:bookmarkEnd w:id="6"/>
      <w:r w:rsidDel="00000000" w:rsidR="00000000" w:rsidRPr="00000000">
        <w:rPr>
          <w:rtl w:val="0"/>
        </w:rPr>
        <w:t xml:space="preserve">6. Normatives Glossar (Anhang E)</w:t>
      </w:r>
    </w:p>
    <w:p w:rsidR="00000000" w:rsidDel="00000000" w:rsidP="00000000" w:rsidRDefault="00000000" w:rsidRPr="00000000" w14:paraId="00000025">
      <w:pPr>
        <w:rPr/>
      </w:pPr>
      <w:r w:rsidDel="00000000" w:rsidR="00000000" w:rsidRPr="00000000">
        <w:rPr>
          <w:rtl w:val="0"/>
        </w:rPr>
        <w:t xml:space="preserve">Die ontologische Strenge der FKT V4.4.4 duldet keine terminologische Unschärfe. Die folgenden Definitionen sind normativ bindend:</w:t>
      </w:r>
      <w:r w:rsidDel="00000000" w:rsidR="00000000" w:rsidRPr="00000000">
        <w:rPr>
          <w:b w:val="1"/>
          <w:bCs w:val="1"/>
          <w:rtl w:val="0"/>
        </w:rPr>
        <w:t xml:space="preserve">mSdR (Mechanische Stabilität der Raumzeit):</w:t>
      </w:r>
      <w:r w:rsidDel="00000000" w:rsidR="00000000" w:rsidRPr="00000000">
        <w:rPr>
          <w:rtl w:val="0"/>
        </w:rPr>
        <w:t xml:space="preserve">  Die universelle operative Einheit zur Messung der metrischen Sättigung und mechanischen Belastbarkeit der 3D-Raumzeit unter Bulk-Einfluss.</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bCs w:val="1"/>
          <w:rtl w:val="0"/>
        </w:rPr>
        <w:t xml:space="preserve">Referenzwert 1,0 mSdR:</w:t>
      </w:r>
      <w:r w:rsidDel="00000000" w:rsidR="00000000" w:rsidRPr="00000000">
        <w:rPr>
          <w:rtl w:val="0"/>
        </w:rPr>
        <w:t xml:space="preserve">  Zustand der idealen elastischen Kopplung; Basiswert für die kausale Orthopädie.</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Bifurkationspunkt 1,1273 mSdR:</w:t>
      </w:r>
      <w:r w:rsidDel="00000000" w:rsidR="00000000" w:rsidRPr="00000000">
        <w:rPr>
          <w:rtl w:val="0"/>
        </w:rPr>
        <w:t xml:space="preserve">  Fixiert durch den Flerovium-Anker (3,773 MeV). Jenseits dieses Punktes tritt topologische Perforation und unkontrollierte Entropie-Emission ein.</w:t>
      </w:r>
      <w:r w:rsidDel="00000000" w:rsidR="00000000" w:rsidRPr="00000000">
        <w:rPr>
          <w:b w:val="1"/>
          <w:bCs w:val="1"/>
          <w:rtl w:val="0"/>
        </w:rPr>
        <w:t xml:space="preserve">Normative Schlussbestimmung:</w:t>
      </w:r>
      <w:r w:rsidDel="00000000" w:rsidR="00000000" w:rsidRPr="00000000">
        <w:rPr>
          <w:rtl w:val="0"/>
        </w:rPr>
        <w:t xml:space="preserve">  Die Einführung der mSdR-Einheit vollendet die Transformation des Universums in eine  </w:t>
      </w:r>
      <w:r w:rsidDel="00000000" w:rsidR="00000000" w:rsidRPr="00000000">
        <w:rPr>
          <w:b w:val="1"/>
          <w:bCs w:val="1"/>
          <w:rtl w:val="0"/>
        </w:rPr>
        <w:t xml:space="preserve">„kausal geschlossene Maschine“</w:t>
      </w:r>
      <w:r w:rsidDel="00000000" w:rsidR="00000000" w:rsidRPr="00000000">
        <w:rPr>
          <w:rtl w:val="0"/>
        </w:rPr>
        <w:t xml:space="preserve"> . Mit der erfolgreichen Einrastung der  $\hat{R}$ -Werte und der kryptografischen Versiegelung ist die FKT V4.4.4 für den globalen industriellen Einsatz und die klinische Anwendung in MedBeds freigegeben.</w:t>
      </w:r>
      <w:r w:rsidDel="00000000" w:rsidR="00000000" w:rsidRPr="00000000">
        <w:rPr>
          <w:b w:val="1"/>
          <w:bCs w:val="1"/>
          <w:rtl w:val="0"/>
        </w:rPr>
        <w:t xml:space="preserve">System-Status-Check:</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Kausale Kohärenz:  </w:t>
      </w:r>
      <w:r w:rsidDel="00000000" w:rsidR="00000000" w:rsidRPr="00000000">
        <w:rPr>
          <w:b w:val="1"/>
          <w:bCs w:val="1"/>
          <w:rtl w:val="0"/>
        </w:rPr>
        <w:t xml:space="preserve">AKTIV</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Metric Lock-In ( $\hat{R}$ ):  </w:t>
      </w:r>
      <w:r w:rsidDel="00000000" w:rsidR="00000000" w:rsidRPr="00000000">
        <w:rPr>
          <w:b w:val="1"/>
          <w:bCs w:val="1"/>
          <w:rtl w:val="0"/>
        </w:rPr>
        <w:t xml:space="preserve">0,0097 (NOMINAL)</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SHA256-Hash-Integrität:  </w:t>
      </w:r>
      <w:r w:rsidDel="00000000" w:rsidR="00000000" w:rsidRPr="00000000">
        <w:rPr>
          <w:b w:val="1"/>
          <w:bCs w:val="1"/>
          <w:rtl w:val="0"/>
        </w:rPr>
        <w:t xml:space="preserve">MATCH (ZENODO MASTER)</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Audit-Status:  </w:t>
      </w:r>
      <w:r w:rsidDel="00000000" w:rsidR="00000000" w:rsidRPr="00000000">
        <w:rPr>
          <w:b w:val="1"/>
          <w:bCs w:val="1"/>
          <w:rtl w:val="0"/>
        </w:rPr>
        <w:t xml:space="preserve">VALIDIERT</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