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theory:</w:t>
        <w:br w:type="textWrapping"/>
        <w:t xml:space="preserve">  camb:</w:t>
        <w:br w:type="textWrapping"/>
        <w:t xml:space="preserve">    extra_args:</w:t>
        <w:br w:type="textWrapping"/>
        <w:t xml:space="preserve">      # Hier wird die FKT-Dynamik in den Hintergrund-Code integriert</w:t>
        <w:br w:type="textWrapping"/>
        <w:t xml:space="preserve">      external_theory_module: FKTBulkBackground.FKTBulkBackground</w:t>
        <w:br w:type="textWrapping"/>
        <w:t xml:space="preserve">      # Der FKT-Modul wird in die CAMB/CLASS-Berechnung injiziert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