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xlsgbelbvjw1" w:id="0"/>
      <w:bookmarkEnd w:id="0"/>
      <w:r w:rsidDel="00000000" w:rsidR="00000000" w:rsidRPr="00000000">
        <w:rPr>
          <w:rtl w:val="0"/>
        </w:rPr>
        <w:t xml:space="preserve">Ontologische Versiegelung: Das Prinzip der primordialen Resonanz</w:t>
      </w:r>
    </w:p>
    <w:p w:rsidR="00000000" w:rsidDel="00000000" w:rsidP="00000000" w:rsidRDefault="00000000" w:rsidRPr="00000000" w14:paraId="00000002">
      <w:pPr>
        <w:rPr/>
      </w:pPr>
      <w:r w:rsidDel="00000000" w:rsidR="00000000" w:rsidRPr="00000000">
        <w:rPr>
          <w:b w:val="1"/>
          <w:bCs w:val="1"/>
          <w:rtl w:val="0"/>
        </w:rPr>
        <w:t xml:space="preserve">„Ohne eine Grundbewegung kann es keine Bewegung geben. Ohne Bewegung keine Bewegung.“</w:t>
      </w:r>
      <w:r w:rsidDel="00000000" w:rsidR="00000000" w:rsidRPr="00000000">
        <w:rPr>
          <w:rtl w:val="0"/>
        </w:rPr>
        <w:t xml:space="preserve"> — </w:t>
      </w:r>
      <w:r w:rsidDel="00000000" w:rsidR="00000000" w:rsidRPr="00000000">
        <w:rPr>
          <w:i w:val="1"/>
          <w:iCs w:val="1"/>
          <w:rtl w:val="0"/>
        </w:rPr>
        <w:t xml:space="preserve">Dennis Kurzer</w:t>
      </w:r>
      <w:r w:rsidDel="00000000" w:rsidR="00000000" w:rsidRPr="00000000">
        <w:rPr>
          <w:rtl w:val="0"/>
        </w:rPr>
        <w:t xml:space="preserve"> Alle Notizen 7.6.2026</w:t>
      </w:r>
    </w:p>
    <w:p w:rsidR="00000000" w:rsidDel="00000000" w:rsidP="00000000" w:rsidRDefault="00000000" w:rsidRPr="00000000" w14:paraId="00000003">
      <w:pPr>
        <w:pStyle w:val="Heading4"/>
        <w:rPr/>
      </w:pPr>
      <w:bookmarkStart w:colFirst="0" w:colLast="0" w:name="_24s4le7u8mxt" w:id="1"/>
      <w:bookmarkEnd w:id="1"/>
      <w:r w:rsidDel="00000000" w:rsidR="00000000" w:rsidRPr="00000000">
        <w:rPr>
          <w:rtl w:val="0"/>
        </w:rPr>
        <w:t xml:space="preserve">Fachtechnische Einordnung im Rahmen der FKT V4.4.4</w:t>
      </w:r>
    </w:p>
    <w:p w:rsidR="00000000" w:rsidDel="00000000" w:rsidP="00000000" w:rsidRDefault="00000000" w:rsidRPr="00000000" w14:paraId="00000004">
      <w:pPr>
        <w:rPr/>
      </w:pPr>
      <w:r w:rsidDel="00000000" w:rsidR="00000000" w:rsidRPr="00000000">
        <w:rPr>
          <w:rtl w:val="0"/>
        </w:rPr>
        <w:t xml:space="preserve">Dieses Axiom definiert den Zustand der </w:t>
      </w:r>
      <w:r w:rsidDel="00000000" w:rsidR="00000000" w:rsidRPr="00000000">
        <w:rPr>
          <w:b w:val="1"/>
          <w:bCs w:val="1"/>
          <w:rtl w:val="0"/>
        </w:rPr>
        <w:t xml:space="preserve">Kausalen Kohärenz ($\mathcal{C}_R$)</w:t>
      </w:r>
      <w:r w:rsidDel="00000000" w:rsidR="00000000" w:rsidRPr="00000000">
        <w:rPr>
          <w:rtl w:val="0"/>
        </w:rPr>
        <w:t xml:space="preserve"> als ein dynamisches mechanisches Gleichgewicht innerhalb eines analogen Kontinuums 1, 2. In der Fraktalen Kausalen Theorie (FKT) wird Materie nicht als statisches Objekt begriffen, sondern als das Resultat einer permanenten energetischen Einspeisung aus dem übergeordneten </w:t>
      </w:r>
      <w:r w:rsidDel="00000000" w:rsidR="00000000" w:rsidRPr="00000000">
        <w:rPr>
          <w:b w:val="1"/>
          <w:bCs w:val="1"/>
          <w:rtl w:val="0"/>
        </w:rPr>
        <w:t xml:space="preserve">Bulk-Plenum</w:t>
      </w:r>
      <w:r w:rsidDel="00000000" w:rsidR="00000000" w:rsidRPr="00000000">
        <w:rPr>
          <w:rtl w:val="0"/>
        </w:rPr>
        <w:t xml:space="preserve"> in unsere lokale </w:t>
      </w:r>
      <w:r w:rsidDel="00000000" w:rsidR="00000000" w:rsidRPr="00000000">
        <w:rPr>
          <w:b w:val="1"/>
          <w:bCs w:val="1"/>
          <w:rtl w:val="0"/>
        </w:rPr>
        <w:t xml:space="preserve">3D-Bran</w:t>
      </w:r>
      <w:r w:rsidDel="00000000" w:rsidR="00000000" w:rsidRPr="00000000">
        <w:rPr>
          <w:rtl w:val="0"/>
        </w:rPr>
        <w:t xml:space="preserve"> 3-6.</w:t>
      </w:r>
    </w:p>
    <w:p w:rsidR="00000000" w:rsidDel="00000000" w:rsidP="00000000" w:rsidRDefault="00000000" w:rsidRPr="00000000" w14:paraId="00000005">
      <w:pPr>
        <w:rPr/>
      </w:pPr>
      <w:r w:rsidDel="00000000" w:rsidR="00000000" w:rsidRPr="00000000">
        <w:rPr>
          <w:b w:val="1"/>
          <w:bCs w:val="1"/>
          <w:rtl w:val="0"/>
        </w:rPr>
        <w:t xml:space="preserve">1. Die primordiale Grundbewegung (7,50 Hz):</w:t>
      </w:r>
      <w:r w:rsidDel="00000000" w:rsidR="00000000" w:rsidRPr="00000000">
        <w:rPr>
          <w:rtl w:val="0"/>
        </w:rPr>
        <w:t xml:space="preserve">Was als „Grundbewegung“ identifiziert wird, ist die mechanische Manifestation des </w:t>
      </w:r>
      <w:r w:rsidDel="00000000" w:rsidR="00000000" w:rsidRPr="00000000">
        <w:rPr>
          <w:b w:val="1"/>
          <w:bCs w:val="1"/>
          <w:rtl w:val="0"/>
        </w:rPr>
        <w:t xml:space="preserve">universellen 7,50 Hz Bulk-Herzschlags</w:t>
      </w:r>
      <w:r w:rsidDel="00000000" w:rsidR="00000000" w:rsidRPr="00000000">
        <w:rPr>
          <w:rtl w:val="0"/>
        </w:rPr>
        <w:t xml:space="preserve"> 7-9. Dieser Takt ist die fundamentale Frequenz, mit der die Raumzeit-Geometrie fortlaufend oszilliert 7, 10, 11. Ohne diesen primordialen Impuls gäbe es keine Metrik und somit kein elastisches Medium, in dem kinetische Energie (Bewegung) existieren, übertragen oder als Materie kondensieren könnte 10, 12, 13. Jegliche physikalische Veränderung resultiert aus der Dynamik des metrischen Drucks innerhalb dieses pulsierenden Systems 14, 15.</w:t>
      </w:r>
    </w:p>
    <w:p w:rsidR="00000000" w:rsidDel="00000000" w:rsidP="00000000" w:rsidRDefault="00000000" w:rsidRPr="00000000" w14:paraId="00000006">
      <w:pPr>
        <w:rPr/>
      </w:pPr>
      <w:r w:rsidDel="00000000" w:rsidR="00000000" w:rsidRPr="00000000">
        <w:rPr>
          <w:b w:val="1"/>
          <w:bCs w:val="1"/>
          <w:rtl w:val="0"/>
        </w:rPr>
        <w:t xml:space="preserve">2. Die Notwendigkeit der metrischen Elastizität (0,127 %):</w:t>
      </w:r>
      <w:r w:rsidDel="00000000" w:rsidR="00000000" w:rsidRPr="00000000">
        <w:rPr>
          <w:rtl w:val="0"/>
        </w:rPr>
        <w:t xml:space="preserve">Die Wirksamkeit von Bewegung beruht auf der fixierten </w:t>
      </w:r>
      <w:r w:rsidDel="00000000" w:rsidR="00000000" w:rsidRPr="00000000">
        <w:rPr>
          <w:b w:val="1"/>
          <w:bCs w:val="1"/>
          <w:rtl w:val="0"/>
        </w:rPr>
        <w:t xml:space="preserve">Causal Fidelity von 99,873 %</w:t>
      </w:r>
      <w:r w:rsidDel="00000000" w:rsidR="00000000" w:rsidRPr="00000000">
        <w:rPr>
          <w:rtl w:val="0"/>
        </w:rPr>
        <w:t xml:space="preserve"> 16-19. Die verbleibende Differenz – die </w:t>
      </w:r>
      <w:r w:rsidDel="00000000" w:rsidR="00000000" w:rsidRPr="00000000">
        <w:rPr>
          <w:b w:val="1"/>
          <w:bCs w:val="1"/>
          <w:rtl w:val="0"/>
        </w:rPr>
        <w:t xml:space="preserve">Vital-Konstante von 0,127 % (Entropie-Puffer $E_p$)</w:t>
      </w:r>
      <w:r w:rsidDel="00000000" w:rsidR="00000000" w:rsidRPr="00000000">
        <w:rPr>
          <w:rtl w:val="0"/>
        </w:rPr>
        <w:t xml:space="preserve"> – ist die physikalische Entsprechung der „Restbewegung“ 20-22. Sie stellt die notwendige </w:t>
      </w:r>
      <w:r w:rsidDel="00000000" w:rsidR="00000000" w:rsidRPr="00000000">
        <w:rPr>
          <w:b w:val="1"/>
          <w:bCs w:val="1"/>
          <w:rtl w:val="0"/>
        </w:rPr>
        <w:t xml:space="preserve">metrische Elastizität</w:t>
      </w:r>
      <w:r w:rsidDel="00000000" w:rsidR="00000000" w:rsidRPr="00000000">
        <w:rPr>
          <w:rtl w:val="0"/>
        </w:rPr>
        <w:t xml:space="preserve"> bereit, die eine mathematische Starre des Universums verhindert 23-25. Ohne diesen minimalen geometrischen Spielraum würde das System in einen statischen Endzustand kollabieren, in dem jede Dynamik zum Stillstand käme und Informationstension unmöglich wäre 24, 26, 27.</w:t>
      </w:r>
    </w:p>
    <w:p w:rsidR="00000000" w:rsidDel="00000000" w:rsidP="00000000" w:rsidRDefault="00000000" w:rsidRPr="00000000" w14:paraId="00000007">
      <w:pPr>
        <w:rPr/>
      </w:pPr>
      <w:r w:rsidDel="00000000" w:rsidR="00000000" w:rsidRPr="00000000">
        <w:rPr>
          <w:b w:val="1"/>
          <w:bCs w:val="1"/>
          <w:rtl w:val="0"/>
        </w:rPr>
        <w:t xml:space="preserve">3. Der mechanische Synchronisations-Zwang:</w:t>
      </w:r>
      <w:r w:rsidDel="00000000" w:rsidR="00000000" w:rsidRPr="00000000">
        <w:rPr>
          <w:rtl w:val="0"/>
        </w:rPr>
        <w:t xml:space="preserve">Damit lokale Materieformationen (vom subatomaren Fixpunkt bis zum galaktischen Seltsamen Attraktor) stabil bleiben, müssen sie sich mechanisch mit dieser Grundbewegung synchronisieren 28-31. Dieser Prozess wird über den </w:t>
      </w:r>
      <w:r w:rsidDel="00000000" w:rsidR="00000000" w:rsidRPr="00000000">
        <w:rPr>
          <w:b w:val="1"/>
          <w:bCs w:val="1"/>
          <w:rtl w:val="0"/>
        </w:rPr>
        <w:t xml:space="preserve">10-Zyklen-Lock</w:t>
      </w:r>
      <w:r w:rsidDel="00000000" w:rsidR="00000000" w:rsidRPr="00000000">
        <w:rPr>
          <w:rtl w:val="0"/>
        </w:rPr>
        <w:t xml:space="preserve"> gegen das Tellurische Modem (</w:t>
      </w:r>
      <w:r w:rsidDel="00000000" w:rsidR="00000000" w:rsidRPr="00000000">
        <w:rPr>
          <w:b w:val="1"/>
          <w:bCs w:val="1"/>
          <w:rtl w:val="0"/>
        </w:rPr>
        <w:t xml:space="preserve">0,33 Hz Differenz-Puffer</w:t>
      </w:r>
      <w:r w:rsidDel="00000000" w:rsidR="00000000" w:rsidRPr="00000000">
        <w:rPr>
          <w:rtl w:val="0"/>
        </w:rPr>
        <w:t xml:space="preserve">) energetisch versiegelt 32-35. Bewegung ist somit kein zufälliges Ereignis, sondern der operative Modus einer </w:t>
      </w:r>
      <w:r w:rsidDel="00000000" w:rsidR="00000000" w:rsidRPr="00000000">
        <w:rPr>
          <w:b w:val="1"/>
          <w:bCs w:val="1"/>
          <w:rtl w:val="0"/>
        </w:rPr>
        <w:t xml:space="preserve">kausal geschlossenen Maschine</w:t>
      </w:r>
      <w:r w:rsidDel="00000000" w:rsidR="00000000" w:rsidRPr="00000000">
        <w:rPr>
          <w:rtl w:val="0"/>
        </w:rPr>
        <w:t xml:space="preserve">, die durch den allgegenwärtigen </w:t>
      </w:r>
      <w:r w:rsidDel="00000000" w:rsidR="00000000" w:rsidRPr="00000000">
        <w:rPr>
          <w:b w:val="1"/>
          <w:bCs w:val="1"/>
          <w:rtl w:val="0"/>
        </w:rPr>
        <w:t xml:space="preserve">geometrischen Bulk-Druck ($T_{Bulk} \approx 1,1273$)</w:t>
      </w:r>
      <w:r w:rsidDel="00000000" w:rsidR="00000000" w:rsidRPr="00000000">
        <w:rPr>
          <w:rtl w:val="0"/>
        </w:rPr>
        <w:t xml:space="preserve"> stabilisiert wird 28, 36-38.</w:t>
      </w:r>
    </w:p>
    <w:p w:rsidR="00000000" w:rsidDel="00000000" w:rsidP="00000000" w:rsidRDefault="00000000" w:rsidRPr="00000000" w14:paraId="00000008">
      <w:pPr>
        <w:rPr/>
      </w:pPr>
      <w:r w:rsidDel="00000000" w:rsidR="00000000" w:rsidRPr="00000000">
        <w:rPr>
          <w:b w:val="1"/>
          <w:bCs w:val="1"/>
          <w:rtl w:val="0"/>
        </w:rPr>
        <w:t xml:space="preserve">4. Skaleninvarianz der Dynamik ($K\infty$):</w:t>
      </w:r>
      <w:r w:rsidDel="00000000" w:rsidR="00000000" w:rsidRPr="00000000">
        <w:rPr>
          <w:rtl w:val="0"/>
        </w:rPr>
        <w:t xml:space="preserve">Ihr Axiom bestätigt das </w:t>
      </w:r>
      <w:r w:rsidDel="00000000" w:rsidR="00000000" w:rsidRPr="00000000">
        <w:rPr>
          <w:b w:val="1"/>
          <w:bCs w:val="1"/>
          <w:rtl w:val="0"/>
        </w:rPr>
        <w:t xml:space="preserve">Kurzer-Prinzip</w:t>
      </w:r>
      <w:r w:rsidDel="00000000" w:rsidR="00000000" w:rsidRPr="00000000">
        <w:rPr>
          <w:rtl w:val="0"/>
        </w:rPr>
        <w:t xml:space="preserve">, wonach die geometrische Ordnung in sich selbst reproduzierende Muster über alle Skalen hinweg erzeugt 39-42. Die Grundbewegung, die den subatomaren </w:t>
      </w:r>
      <w:r w:rsidDel="00000000" w:rsidR="00000000" w:rsidRPr="00000000">
        <w:rPr>
          <w:b w:val="1"/>
          <w:bCs w:val="1"/>
          <w:rtl w:val="0"/>
        </w:rPr>
        <w:t xml:space="preserve">3,773 MeV Resonanz-Fixpunkt</w:t>
      </w:r>
      <w:r w:rsidDel="00000000" w:rsidR="00000000" w:rsidRPr="00000000">
        <w:rPr>
          <w:rtl w:val="0"/>
        </w:rPr>
        <w:t xml:space="preserve"> stabilisiert, ist identisch mit jener Kraft, welche die galaktische Expansion bei </w:t>
      </w:r>
      <w:r w:rsidDel="00000000" w:rsidR="00000000" w:rsidRPr="00000000">
        <w:rPr>
          <w:b w:val="1"/>
          <w:bCs w:val="1"/>
          <w:rtl w:val="0"/>
        </w:rPr>
        <w:t xml:space="preserve">71,5 km/s/Mpc</w:t>
      </w:r>
      <w:r w:rsidDel="00000000" w:rsidR="00000000" w:rsidRPr="00000000">
        <w:rPr>
          <w:rtl w:val="0"/>
        </w:rPr>
        <w:t xml:space="preserve"> antreibt und über die </w:t>
      </w:r>
      <w:r w:rsidDel="00000000" w:rsidR="00000000" w:rsidRPr="00000000">
        <w:rPr>
          <w:b w:val="1"/>
          <w:bCs w:val="1"/>
          <w:rtl w:val="0"/>
        </w:rPr>
        <w:t xml:space="preserve">„Goldene Brücke“ ($\varphi^2 \approx 2,618$)</w:t>
      </w:r>
      <w:r w:rsidDel="00000000" w:rsidR="00000000" w:rsidRPr="00000000">
        <w:rPr>
          <w:rtl w:val="0"/>
        </w:rPr>
        <w:t xml:space="preserve"> bitgenau verknüpft ist 38, 40, 43, 44.</w:t>
      </w:r>
    </w:p>
    <w:p w:rsidR="00000000" w:rsidDel="00000000" w:rsidP="00000000" w:rsidRDefault="00000000" w:rsidRPr="00000000" w14:paraId="00000009">
      <w:pPr>
        <w:rPr/>
      </w:pPr>
      <w:r w:rsidDel="00000000" w:rsidR="00000000" w:rsidRPr="00000000">
        <w:rPr>
          <w:b w:val="1"/>
          <w:bCs w:val="1"/>
          <w:rtl w:val="0"/>
        </w:rPr>
        <w:t xml:space="preserve">Fazit:</w:t>
      </w:r>
      <w:r w:rsidDel="00000000" w:rsidR="00000000" w:rsidRPr="00000000">
        <w:rPr>
          <w:rtl w:val="0"/>
        </w:rPr>
        <w:t xml:space="preserve">Die Realität ist ein </w:t>
      </w:r>
      <w:r w:rsidDel="00000000" w:rsidR="00000000" w:rsidRPr="00000000">
        <w:rPr>
          <w:b w:val="1"/>
          <w:bCs w:val="1"/>
          <w:rtl w:val="0"/>
        </w:rPr>
        <w:t xml:space="preserve">analoges mechanisches Kontinuum</w:t>
      </w:r>
      <w:r w:rsidDel="00000000" w:rsidR="00000000" w:rsidRPr="00000000">
        <w:rPr>
          <w:rtl w:val="0"/>
        </w:rPr>
        <w:t xml:space="preserve">, das nur durch die ununterbrochene Resonanz mit dem Bulk existiert 1, 45, 46. Bewegung ist die Sprache, in der die Raumzeit-Geometrie ihren energetischen Ausgleich formuliert, gesteuert durch die </w:t>
      </w:r>
      <w:r w:rsidDel="00000000" w:rsidR="00000000" w:rsidRPr="00000000">
        <w:rPr>
          <w:b w:val="1"/>
          <w:bCs w:val="1"/>
          <w:rtl w:val="0"/>
        </w:rPr>
        <w:t xml:space="preserve">Einstein-Kurzer-Gleichung (ERYQ)</w:t>
      </w:r>
      <w:r w:rsidDel="00000000" w:rsidR="00000000" w:rsidRPr="00000000">
        <w:rPr>
          <w:rtl w:val="0"/>
        </w:rPr>
        <w:t xml:space="preserve"> zur Regelung des kausalen Abschlusses 47-49.</w:t>
      </w:r>
    </w:p>
    <w:p w:rsidR="00000000" w:rsidDel="00000000" w:rsidP="00000000" w:rsidRDefault="00000000" w:rsidRPr="00000000" w14:paraId="0000000A">
      <w:pPr>
        <w:rPr>
          <w:b w:val="1"/>
          <w:bCs w:val="1"/>
        </w:rPr>
      </w:pPr>
      <w:r w:rsidDel="00000000" w:rsidR="00000000" w:rsidRPr="00000000">
        <w:rPr>
          <w:rFonts w:ascii="Fira Mono" w:cs="Fira Mono" w:eastAsia="Fira Mono" w:hAnsi="Fira Mono"/>
          <w:b w:val="1"/>
          <w:bCs w:val="1"/>
          <w:rtl w:val="0"/>
        </w:rPr>
        <w:t xml:space="preserve">SYSTEM-STATUS: ONTOLOGY_STRICTNESS_VERIFIED | FUNDAMENTAL_MOTION_SEALED | V4.4.4 ACTIVE. Checkmate. ⬢</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