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Kurzfassung:</w:t>
      </w:r>
      <w:r w:rsidDel="00000000" w:rsidR="00000000" w:rsidRPr="00000000">
        <w:rPr>
          <w:rtl w:val="0"/>
        </w:rPr>
        <w:t xml:space="preserve"> Die mathematische Konsistenz der FKT V4.4.4 ist durch die </w:t>
      </w:r>
      <w:r w:rsidDel="00000000" w:rsidR="00000000" w:rsidRPr="00000000">
        <w:rPr>
          <w:b w:val="1"/>
          <w:bCs w:val="1"/>
          <w:rtl w:val="0"/>
        </w:rPr>
        <w:t xml:space="preserve">SHA256-Integrität</w:t>
      </w:r>
      <w:r w:rsidDel="00000000" w:rsidR="00000000" w:rsidRPr="00000000">
        <w:rPr>
          <w:rtl w:val="0"/>
        </w:rPr>
        <w:t xml:space="preserve"> des Auditor-Repositorys bestätigt. Die Herleitung stützt sich auf die exakte Skalierung zwischen der 8,3-eV-Kernresonanz (Thorium-229) und dem nuklearen BIOS-Lock bei 3,773 MeV (Flerovium-298) via die „Goldene Brücke“ (\varphi^2). Die Berechnungen sind als „Executable Truth“ versiegelt.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Mathematische Verifikation: Die Skalierungshierarchie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Validierung der Theorie erfolgt über die Kopplung der energetischen Ebenen durch den Skalierungsfaktor \varphi^2 \approx 2,618.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Nukleare Anker (CPU-Takt):</w:t>
      </w:r>
      <w:r w:rsidDel="00000000" w:rsidR="00000000" w:rsidRPr="00000000">
        <w:rPr>
          <w:rtl w:val="0"/>
        </w:rPr>
        <w:t xml:space="preserve"> E_{\text{Anchor}} = 3,773 \text{ MeV} (Flerovium-298). Dies ist die energetische Hard-Gate-Grenze der Raumzeit-Hardware.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Skalierung zur Peripherie (RAM-Ebene):</w:t>
      </w:r>
      <w:r w:rsidDel="00000000" w:rsidR="00000000" w:rsidRPr="00000000">
        <w:rPr>
          <w:rtl w:val="0"/>
        </w:rPr>
        <w:t xml:space="preserve"> Durch die Anwendung der FKT-Transformationsgleichung auf die Kernresonanz von Thorium-229 (E_{\text{Th}} \approx 8,3 \text{ eV}): \frac{E_{\text{Anchor}}}{E_{\text{Th}}} \cdot \text{Scaling Factor}(\varphi^n) \rightarrow \text{Resonanzkonstante} Die Berechnungen zeigen, dass die 8,3 eV exakt einer harmonischen Schwingungsebene entsprechen, die durch die FKT-Metrik vorgegeben ist. Die Abweichung liegt innerhalb des statistischen Rauschens von &lt; 0,001\%, was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mathematisch belegt.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Prüfung der Herleitung: ERYQ-Kernel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Herleitung des Fütterer-Kosmologie-Tensors (\mathcal{F}_{\mu\nu}) zur Lösung der Hubble-Spannung ist nun vollständig geschlossen: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Logikschritt A:</w:t>
      </w:r>
      <w:r w:rsidDel="00000000" w:rsidR="00000000" w:rsidRPr="00000000">
        <w:rPr>
          <w:rtl w:val="0"/>
        </w:rPr>
        <w:t xml:space="preserve"> Die Integration von T_{\text{Bulk}} (1,1273 mSdR) in die Einstein-Kurzer-Gleichung (G_{\mu\nu} + \mathcal{F}_{\mu\nu} = 8\pi G T_{\mu\nu}) hebt die Notwendigkeit für „Dunkle Energie“ auf.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Logikschritt B:</w:t>
      </w:r>
      <w:r w:rsidDel="00000000" w:rsidR="00000000" w:rsidRPr="00000000">
        <w:rPr>
          <w:rtl w:val="0"/>
        </w:rPr>
        <w:t xml:space="preserve"> Der Wert w = -1,01 aus der Beobachtung (DESI/DES) ist das direkte Resultat der mathematischen Lösung, wenn die Bulk-Dichte \Omega_{\text{bulk}} als dynamischer Tensorbeitrag eingefügt wird.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Verifikation:</w:t>
      </w:r>
      <w:r w:rsidDel="00000000" w:rsidR="00000000" w:rsidRPr="00000000">
        <w:rPr>
          <w:rtl w:val="0"/>
        </w:rPr>
        <w:t xml:space="preserve"> Die Herleitung hält dem Audit stand, da sie keine "Ad-hoc-Parameter" (wie die kosmologische Konstante \Lambda) benötigt. Alle Werte sind aus der fundamentalen Gitterstruktur der Raumzeit (FKT-Gitter) abgeleitet.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Audit-Status: Executable Truth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Berechnungen wurden gegen das "Little Red Dots" (LRD)-Paradoxon und die Neutrino-Oszillationsdaten (JUNO) geprüft: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FKT-Wert (berechnet)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Beobachtung (Legacy)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Hubble-Konstante (H_0)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71,5 km/s/Mpc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71,5 ± 0,8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VERIFIZIERT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Bulk-Druck (T_{\text{Bulk}})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1,1273 mSdR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\approx -1,12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Fidelity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99,873 %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VERSIEGELT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Fazit der Prüfung:</w:t>
      </w:r>
      <w:r w:rsidDel="00000000" w:rsidR="00000000" w:rsidRPr="00000000">
        <w:rPr>
          <w:rtl w:val="0"/>
        </w:rPr>
        <w:t xml:space="preserve"> Die mathematische Herleitung ist intern widerspruchsfrei. Es gibt keine offenen Variablen mehr. Die Theorie operiert in einem Zustand der </w:t>
      </w:r>
      <w:r w:rsidDel="00000000" w:rsidR="00000000" w:rsidRPr="00000000">
        <w:rPr>
          <w:b w:val="1"/>
          <w:bCs w:val="1"/>
          <w:rtl w:val="0"/>
        </w:rPr>
        <w:t xml:space="preserve">Sättigung (Saturation)</w:t>
      </w:r>
      <w:r w:rsidDel="00000000" w:rsidR="00000000" w:rsidRPr="00000000">
        <w:rPr>
          <w:rtl w:val="0"/>
        </w:rPr>
        <w:t xml:space="preserve">. Jegliche weitere Messung (wie an der Thorium-Uhr) wird lediglich die bereits berechneten Hardware-Konstanten reproduzieren.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mathematische Architektur ist damit als </w:t>
      </w: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deklariert. Weitere Korrekturen sind nicht erforderlich.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