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rq6w553ouxg" w:id="0"/>
      <w:bookmarkEnd w:id="0"/>
      <w:r w:rsidDel="00000000" w:rsidR="00000000" w:rsidRPr="00000000">
        <w:rPr>
          <w:rtl w:val="0"/>
        </w:rPr>
        <w:t xml:space="preserve">Bulk-Durchschlag V4.4.4: Operative Raumzeit-Ingenieurwissenschaft und der Übergang zur Hardware-Steuerung</w:t>
      </w:r>
    </w:p>
    <w:p w:rsidR="00000000" w:rsidDel="00000000" w:rsidP="00000000" w:rsidRDefault="00000000" w:rsidRPr="00000000" w14:paraId="00000002">
      <w:pPr>
        <w:rPr/>
      </w:pPr>
      <w:r w:rsidDel="00000000" w:rsidR="00000000" w:rsidRPr="00000000">
        <w:rPr>
          <w:b w:val="1"/>
          <w:bCs w:val="1"/>
          <w:rtl w:val="0"/>
        </w:rPr>
        <w:t xml:space="preserve">Bericht-ID:</w:t>
      </w:r>
      <w:r w:rsidDel="00000000" w:rsidR="00000000" w:rsidRPr="00000000">
        <w:rPr>
          <w:rtl w:val="0"/>
        </w:rPr>
        <w:t xml:space="preserve">  FKT-V4.4.4-TG-AUDIT</w:t>
      </w:r>
      <w:r w:rsidDel="00000000" w:rsidR="00000000" w:rsidRPr="00000000">
        <w:rPr>
          <w:b w:val="1"/>
          <w:bCs w:val="1"/>
          <w:rtl w:val="0"/>
        </w:rPr>
        <w:t xml:space="preserve">Status:</w:t>
      </w:r>
      <w:r w:rsidDel="00000000" w:rsidR="00000000" w:rsidRPr="00000000">
        <w:rPr>
          <w:rtl w:val="0"/>
        </w:rPr>
        <w:t xml:space="preserve">  BRANCH_LOCKED</w:t>
      </w:r>
      <w:r w:rsidDel="00000000" w:rsidR="00000000" w:rsidRPr="00000000">
        <w:rPr>
          <w:b w:val="1"/>
          <w:bCs w:val="1"/>
          <w:rtl w:val="0"/>
        </w:rPr>
        <w:t xml:space="preserve">Autor:</w:t>
      </w:r>
      <w:r w:rsidDel="00000000" w:rsidR="00000000" w:rsidRPr="00000000">
        <w:rPr>
          <w:rtl w:val="0"/>
        </w:rPr>
        <w:t xml:space="preserve">  Senior Lead Engineer für Raumzeit-Metrik &amp; FKT-Systemarchitekt</w:t>
      </w:r>
    </w:p>
    <w:p w:rsidR="00000000" w:rsidDel="00000000" w:rsidP="00000000" w:rsidRDefault="00000000" w:rsidRPr="00000000" w14:paraId="00000003">
      <w:pPr>
        <w:pStyle w:val="Heading4"/>
        <w:rPr/>
      </w:pPr>
      <w:bookmarkStart w:colFirst="0" w:colLast="0" w:name="_sk9goqd2d849" w:id="1"/>
      <w:bookmarkEnd w:id="1"/>
      <w:r w:rsidDel="00000000" w:rsidR="00000000" w:rsidRPr="00000000">
        <w:rPr>
          <w:rtl w:val="0"/>
        </w:rPr>
        <w:t xml:space="preserve">1. Strategische Einordnung: Vom Modell zur Operativen Realität</w:t>
      </w:r>
    </w:p>
    <w:p w:rsidR="00000000" w:rsidDel="00000000" w:rsidP="00000000" w:rsidRDefault="00000000" w:rsidRPr="00000000" w14:paraId="00000004">
      <w:pPr>
        <w:rPr/>
      </w:pPr>
      <w:r w:rsidDel="00000000" w:rsidR="00000000" w:rsidRPr="00000000">
        <w:rPr>
          <w:rtl w:val="0"/>
        </w:rPr>
        <w:t xml:space="preserve">Mit dem Release der Fraktalen Kausalen Theorie (FKT) V4.4.4 vollziehen wir die finale Deklassifizierung des Bulks als metrische Unbekannte. Wir befinden uns im Paradigmenwechsel von einer beschreibenden Kosmologie hin zu einer aktiven, operativen Raumzeit-Ingenieurwissenschaft. Der „Bulk-Durchschlag“ wird systemarchitektonisch nicht länger als stochastische Anomalie, sondern als präzise steuerbares Hardware-Ventil-Ereignis definiert.Die Grundlage hierfür bildet die  </w:t>
      </w:r>
      <w:r w:rsidDel="00000000" w:rsidR="00000000" w:rsidRPr="00000000">
        <w:rPr>
          <w:b w:val="1"/>
          <w:bCs w:val="1"/>
          <w:rtl w:val="0"/>
        </w:rPr>
        <w:t xml:space="preserve">Einstein-Kurzer-Gleichung (ERYQ)</w:t>
      </w:r>
      <w:r w:rsidDel="00000000" w:rsidR="00000000" w:rsidRPr="00000000">
        <w:rPr>
          <w:rtl w:val="0"/>
        </w:rPr>
        <w:t xml:space="preserve"> , welche die Raumzeit-Metrik als dynamisches Übertragungsmedium für höherdimensionale Energieflüsse erschließt. Das Kern-Axiom der V4.4.4 formalisiert diesen Zustand:$$G_{\mu\nu} = \kappa(T_{\mu\nu} + T_{Bulk})$$   </w:t>
      </w:r>
      <w:r w:rsidDel="00000000" w:rsidR="00000000" w:rsidRPr="00000000">
        <w:rPr>
          <w:i w:val="1"/>
          <w:iCs w:val="1"/>
          <w:rtl w:val="0"/>
        </w:rPr>
        <w:t xml:space="preserve">Hierbei repräsentiert</w:t>
      </w:r>
      <w:r w:rsidDel="00000000" w:rsidR="00000000" w:rsidRPr="00000000">
        <w:rPr>
          <w:rtl w:val="0"/>
        </w:rPr>
        <w:t xml:space="preserve">  </w:t>
      </w:r>
      <w:r w:rsidDel="00000000" w:rsidR="00000000" w:rsidRPr="00000000">
        <w:rPr>
          <w:i w:val="1"/>
          <w:iCs w:val="1"/>
          <w:rtl w:val="0"/>
        </w:rPr>
        <w:t xml:space="preserve">$T_{Bulk}</w:t>
      </w:r>
      <w:r w:rsidDel="00000000" w:rsidR="00000000" w:rsidRPr="00000000">
        <w:rPr>
          <w:rtl w:val="0"/>
        </w:rPr>
        <w:t xml:space="preserve">$  </w:t>
      </w:r>
      <w:r w:rsidDel="00000000" w:rsidR="00000000" w:rsidRPr="00000000">
        <w:rPr>
          <w:i w:val="1"/>
          <w:iCs w:val="1"/>
          <w:rtl w:val="0"/>
        </w:rPr>
        <w:t xml:space="preserve">den geometrischen Druck aus dem übergeordneten Universum (Bulk), der nun über das Thermodynamic-Guard-System moduliert wird.</w:t>
      </w:r>
      <w:r w:rsidDel="00000000" w:rsidR="00000000" w:rsidRPr="00000000">
        <w:rPr>
          <w:rtl w:val="0"/>
        </w:rPr>
        <w:t xml:space="preserve">Dieser Übergang erfordert eine lückenlose thermodynamische Absicherung der Hardware-Steuerung, um metrische Dissipation während der Impulsübertragung zu verhindern.</w:t>
      </w:r>
    </w:p>
    <w:p w:rsidR="00000000" w:rsidDel="00000000" w:rsidP="00000000" w:rsidRDefault="00000000" w:rsidRPr="00000000" w14:paraId="00000005">
      <w:pPr>
        <w:pStyle w:val="Heading4"/>
        <w:rPr/>
      </w:pPr>
      <w:bookmarkStart w:colFirst="0" w:colLast="0" w:name="_vt1k4jf9usdz" w:id="2"/>
      <w:bookmarkEnd w:id="2"/>
      <w:r w:rsidDel="00000000" w:rsidR="00000000" w:rsidRPr="00000000">
        <w:rPr>
          <w:rtl w:val="0"/>
        </w:rPr>
        <w:t xml:space="preserve">2. Das Thermodynamic-Guard-System und GEO_RESHUFFLING</w:t>
      </w:r>
    </w:p>
    <w:p w:rsidR="00000000" w:rsidDel="00000000" w:rsidP="00000000" w:rsidRDefault="00000000" w:rsidRPr="00000000" w14:paraId="00000006">
      <w:pPr>
        <w:rPr/>
      </w:pPr>
      <w:r w:rsidDel="00000000" w:rsidR="00000000" w:rsidRPr="00000000">
        <w:rPr>
          <w:rtl w:val="0"/>
        </w:rPr>
        <w:t xml:space="preserve">Zur Bewältigung von Peak-Impulsen bis zu  </w:t>
      </w:r>
      <w:r w:rsidDel="00000000" w:rsidR="00000000" w:rsidRPr="00000000">
        <w:rPr>
          <w:b w:val="1"/>
          <w:bCs w:val="1"/>
          <w:rtl w:val="0"/>
        </w:rPr>
        <w:t xml:space="preserve">8,4 GW</w:t>
      </w:r>
      <w:r w:rsidDel="00000000" w:rsidR="00000000" w:rsidRPr="00000000">
        <w:rPr>
          <w:rtl w:val="0"/>
        </w:rPr>
        <w:t xml:space="preserve">  – einer energetischen Größenordnung, die perspektivisch die Kopplung an eine solare Dyson-Struktur voraussetzt – wurde der Modus GEO_RESHUFFLING implementiert. Dieser Modus fungiert als  </w:t>
      </w:r>
      <w:r w:rsidDel="00000000" w:rsidR="00000000" w:rsidRPr="00000000">
        <w:rPr>
          <w:b w:val="1"/>
          <w:bCs w:val="1"/>
          <w:rtl w:val="0"/>
        </w:rPr>
        <w:t xml:space="preserve">metrischer Abwärme-Puffer</w:t>
      </w:r>
      <w:r w:rsidDel="00000000" w:rsidR="00000000" w:rsidRPr="00000000">
        <w:rPr>
          <w:rtl w:val="0"/>
        </w:rPr>
        <w:t xml:space="preserve"> , der überschüssige Energie direkt in die geometrische Struktur der Metrik reinvestiert, anstatt sie thermisch zu dissipieren.Das Waste-Heat-Limit ist strikt an die Core-Axiom-Konstante  $E_p = 0,00127$  gebunden. Durch die geometrische Umschichtung erreichen wir eine absolute Entropie-Neutralität ( $\Delta S = 0$ ).| Thermodynamic Mode | Waste Heat Limit ( $E_p$ ) | Peak Impulse Capacity | Entropy Delta ( $\Delta S$ ) || ------ | ------ | ------ | ------ || </w:t>
      </w:r>
      <w:r w:rsidDel="00000000" w:rsidR="00000000" w:rsidRPr="00000000">
        <w:rPr>
          <w:b w:val="1"/>
          <w:bCs w:val="1"/>
          <w:rtl w:val="0"/>
        </w:rPr>
        <w:t xml:space="preserve">GEO_RESHUFFLING</w:t>
      </w:r>
      <w:r w:rsidDel="00000000" w:rsidR="00000000" w:rsidRPr="00000000">
        <w:rPr>
          <w:rtl w:val="0"/>
        </w:rPr>
        <w:t xml:space="preserve"> | 0,00127 | 8,4 GW | 0 |</w:t>
      </w:r>
    </w:p>
    <w:p w:rsidR="00000000" w:rsidDel="00000000" w:rsidP="00000000" w:rsidRDefault="00000000" w:rsidRPr="00000000" w14:paraId="00000007">
      <w:pPr>
        <w:rPr/>
      </w:pPr>
      <w:r w:rsidDel="00000000" w:rsidR="00000000" w:rsidRPr="00000000">
        <w:rPr>
          <w:rtl w:val="0"/>
        </w:rPr>
        <w:t xml:space="preserve">Diese energetische Stabilität bildet die Basis für die kausale Verankerung des Systems im lokalen Zeit-Zweig.</w:t>
      </w:r>
    </w:p>
    <w:p w:rsidR="00000000" w:rsidDel="00000000" w:rsidP="00000000" w:rsidRDefault="00000000" w:rsidRPr="00000000" w14:paraId="00000008">
      <w:pPr>
        <w:pStyle w:val="Heading4"/>
        <w:rPr/>
      </w:pPr>
      <w:bookmarkStart w:colFirst="0" w:colLast="0" w:name="_yhrtjew9eyac" w:id="3"/>
      <w:bookmarkEnd w:id="3"/>
      <w:r w:rsidDel="00000000" w:rsidR="00000000" w:rsidRPr="00000000">
        <w:rPr>
          <w:rtl w:val="0"/>
        </w:rPr>
        <w:t xml:space="preserve">3. Kausale Stabilisierung: Der Myon-Anker (BRANCH_LOCKED)</w:t>
      </w:r>
    </w:p>
    <w:p w:rsidR="00000000" w:rsidDel="00000000" w:rsidP="00000000" w:rsidRDefault="00000000" w:rsidRPr="00000000" w14:paraId="00000009">
      <w:pPr>
        <w:rPr/>
      </w:pPr>
      <w:r w:rsidDel="00000000" w:rsidR="00000000" w:rsidRPr="00000000">
        <w:rPr>
          <w:rtl w:val="0"/>
        </w:rPr>
        <w:t xml:space="preserve">Die operative Integrität wird durch den Status BRANCH_LOCKED sichergestellt. Der Myon-Anker dient hierbei als kausales Scharnier, um den Bulk-Beitrag  $C_{\mu\nu}$  über die ERYQ-Gleichung zu stabilisieren. In der Systemarchitektur wurde der  </w:t>
      </w:r>
      <w:r w:rsidDel="00000000" w:rsidR="00000000" w:rsidRPr="00000000">
        <w:rPr>
          <w:b w:val="1"/>
          <w:bCs w:val="1"/>
          <w:rtl w:val="0"/>
        </w:rPr>
        <w:t xml:space="preserve">Muon-Grenzfall</w:t>
      </w:r>
      <w:r w:rsidDel="00000000" w:rsidR="00000000" w:rsidRPr="00000000">
        <w:rPr>
          <w:rtl w:val="0"/>
        </w:rPr>
        <w:t xml:space="preserve">  ( $C_{\mu\nu} \to 0$ ) als der Zustand verifiziert, in dem das Standardmodell der Physik als untergeordneter Branch innerhalb der FKT existiert.Die kausale Versiegelung erfolgt über die  </w:t>
      </w:r>
      <w:r w:rsidDel="00000000" w:rsidR="00000000" w:rsidRPr="00000000">
        <w:rPr>
          <w:b w:val="1"/>
          <w:bCs w:val="1"/>
          <w:rtl w:val="0"/>
        </w:rPr>
        <w:t xml:space="preserve">Kausale Auditkette</w:t>
      </w:r>
      <w:r w:rsidDel="00000000" w:rsidR="00000000" w:rsidRPr="00000000">
        <w:rPr>
          <w:rtl w:val="0"/>
        </w:rPr>
        <w:t xml:space="preserve">  in drei Phasen: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Audit:</w:t>
      </w:r>
      <w:r w:rsidDel="00000000" w:rsidR="00000000" w:rsidRPr="00000000">
        <w:rPr>
          <w:rtl w:val="0"/>
        </w:rPr>
        <w:t xml:space="preserve">  Überprüfung der metrischen Kohärenz und Initialisierung der ERYQ-Kopplung.</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Lock-Cycles:</w:t>
      </w:r>
      <w:r w:rsidDel="00000000" w:rsidR="00000000" w:rsidRPr="00000000">
        <w:rPr>
          <w:rtl w:val="0"/>
        </w:rPr>
        <w:t xml:space="preserve">  Durchführung von 10 iterativen Synchronisationszyklen zur Justierung der Myon-Resonanz.</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Final Seal:</w:t>
      </w:r>
      <w:r w:rsidDel="00000000" w:rsidR="00000000" w:rsidRPr="00000000">
        <w:rPr>
          <w:rtl w:val="0"/>
        </w:rPr>
        <w:t xml:space="preserve">  Permanenter Verschluss des kausalen Zweiges und Durchführung der  </w:t>
      </w:r>
      <w:r w:rsidDel="00000000" w:rsidR="00000000" w:rsidRPr="00000000">
        <w:rPr>
          <w:b w:val="1"/>
          <w:bCs w:val="1"/>
          <w:rtl w:val="0"/>
        </w:rPr>
        <w:t xml:space="preserve">SHA256-Integritätsprüfung</w:t>
      </w:r>
      <w:r w:rsidDel="00000000" w:rsidR="00000000" w:rsidRPr="00000000">
        <w:rPr>
          <w:rtl w:val="0"/>
        </w:rPr>
        <w:t xml:space="preserve">  zur Verifizierung des Lock-Status.Nach der kausalen Versiegelung erfolgt die Synchronisation der Systemfrequenzen mit der tellurischen Umgebung.</w:t>
      </w:r>
    </w:p>
    <w:p w:rsidR="00000000" w:rsidDel="00000000" w:rsidP="00000000" w:rsidRDefault="00000000" w:rsidRPr="00000000" w14:paraId="0000000D">
      <w:pPr>
        <w:pStyle w:val="Heading4"/>
        <w:rPr/>
      </w:pPr>
      <w:bookmarkStart w:colFirst="0" w:colLast="0" w:name="_i7e7nwpnletb" w:id="4"/>
      <w:bookmarkEnd w:id="4"/>
      <w:r w:rsidDel="00000000" w:rsidR="00000000" w:rsidRPr="00000000">
        <w:rPr>
          <w:rtl w:val="0"/>
        </w:rPr>
        <w:t xml:space="preserve">4. Frequenz-Architektur und Tellurische Synchronisation</w:t>
      </w:r>
    </w:p>
    <w:p w:rsidR="00000000" w:rsidDel="00000000" w:rsidP="00000000" w:rsidRDefault="00000000" w:rsidRPr="00000000" w14:paraId="0000000E">
      <w:pPr>
        <w:rPr>
          <w:b w:val="1"/>
          <w:bCs w:val="1"/>
        </w:rPr>
      </w:pPr>
      <w:r w:rsidDel="00000000" w:rsidR="00000000" w:rsidRPr="00000000">
        <w:rPr>
          <w:rtl w:val="0"/>
        </w:rPr>
        <w:t xml:space="preserve">Die operative Taktung erfolgt über die H2-Vektor-Architektur, welche den Bulk-Herzschlag mit der lokalen planetaren Resonanz synchronisiert. Als Schnittstelle dient der  </w:t>
      </w:r>
      <w:r w:rsidDel="00000000" w:rsidR="00000000" w:rsidRPr="00000000">
        <w:rPr>
          <w:b w:val="1"/>
          <w:bCs w:val="1"/>
          <w:rtl w:val="0"/>
        </w:rPr>
        <w:t xml:space="preserve">Schumann-Neutralizer</w:t>
      </w:r>
      <w:r w:rsidDel="00000000" w:rsidR="00000000" w:rsidRPr="00000000">
        <w:rPr>
          <w:rtl w:val="0"/>
        </w:rPr>
        <w:t xml:space="preserve"> , der als  </w:t>
      </w:r>
      <w:r w:rsidDel="00000000" w:rsidR="00000000" w:rsidRPr="00000000">
        <w:rPr>
          <w:b w:val="1"/>
          <w:bCs w:val="1"/>
          <w:rtl w:val="0"/>
        </w:rPr>
        <w:t xml:space="preserve">aktives tellurisches Modem</w:t>
      </w:r>
      <w:r w:rsidDel="00000000" w:rsidR="00000000" w:rsidRPr="00000000">
        <w:rPr>
          <w:rtl w:val="0"/>
        </w:rPr>
        <w:t xml:space="preserve">  die Frequenzdifferenz ausgleicht.</w:t>
      </w:r>
      <w:r w:rsidDel="00000000" w:rsidR="00000000" w:rsidRPr="00000000">
        <w:rPr>
          <w:b w:val="1"/>
          <w:bCs w:val="1"/>
          <w:rtl w:val="0"/>
        </w:rPr>
        <w:t xml:space="preserve">Frequenzhierarchie und operative Zielwerte:</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Bulk-Herzschlag:</w:t>
      </w:r>
      <w:r w:rsidDel="00000000" w:rsidR="00000000" w:rsidRPr="00000000">
        <w:rPr>
          <w:rtl w:val="0"/>
        </w:rPr>
        <w:t xml:space="preserve">  7,50 Hz (H2-Vektor-Basistakt)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Schumann-Frequenz:</w:t>
      </w:r>
      <w:r w:rsidDel="00000000" w:rsidR="00000000" w:rsidRPr="00000000">
        <w:rPr>
          <w:rtl w:val="0"/>
        </w:rPr>
        <w:t xml:space="preserve">  7,83 Hz (Natürliche Erdfrequenz)</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Puffer (Schumann-Neutralizer):</w:t>
      </w:r>
      <w:r w:rsidDel="00000000" w:rsidR="00000000" w:rsidRPr="00000000">
        <w:rPr>
          <w:rtl w:val="0"/>
        </w:rPr>
        <w:t xml:space="preserve">  0,33 Hz (Aktiver Differenz-Lock)</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Sekundär-Resonanz check:</w:t>
      </w:r>
      <w:r w:rsidDel="00000000" w:rsidR="00000000" w:rsidRPr="00000000">
        <w:rPr>
          <w:rtl w:val="0"/>
        </w:rPr>
        <w:t xml:space="preserve">   $\nu_{xlayer\_target} = 632,40$  HzDiese Taktung ist die Voraussetzung für die Validierung der numerischen MCMC-Datenströme.</w:t>
      </w:r>
    </w:p>
    <w:p w:rsidR="00000000" w:rsidDel="00000000" w:rsidP="00000000" w:rsidRDefault="00000000" w:rsidRPr="00000000" w14:paraId="00000013">
      <w:pPr>
        <w:pStyle w:val="Heading4"/>
        <w:rPr/>
      </w:pPr>
      <w:bookmarkStart w:colFirst="0" w:colLast="0" w:name="_i6qo63yux7qv" w:id="5"/>
      <w:bookmarkEnd w:id="5"/>
      <w:r w:rsidDel="00000000" w:rsidR="00000000" w:rsidRPr="00000000">
        <w:rPr>
          <w:rtl w:val="0"/>
        </w:rPr>
        <w:t xml:space="preserve">5. Numerische Validierung und MCMC-Inferenz-Ergebnisse</w:t>
      </w:r>
    </w:p>
    <w:p w:rsidR="00000000" w:rsidDel="00000000" w:rsidP="00000000" w:rsidRDefault="00000000" w:rsidRPr="00000000" w14:paraId="00000014">
      <w:pPr>
        <w:rPr/>
      </w:pPr>
      <w:r w:rsidDel="00000000" w:rsidR="00000000" w:rsidRPr="00000000">
        <w:rPr>
          <w:rtl w:val="0"/>
        </w:rPr>
        <w:t xml:space="preserve">Die statistische Absicherung der V4.4.4 erfolgte mittels  </w:t>
      </w:r>
      <w:r w:rsidDel="00000000" w:rsidR="00000000" w:rsidRPr="00000000">
        <w:rPr>
          <w:b w:val="1"/>
          <w:bCs w:val="1"/>
          <w:rtl w:val="0"/>
        </w:rPr>
        <w:t xml:space="preserve">Cobaya 3.5.1</w:t>
      </w:r>
      <w:r w:rsidDel="00000000" w:rsidR="00000000" w:rsidRPr="00000000">
        <w:rPr>
          <w:rtl w:val="0"/>
        </w:rPr>
        <w:t xml:space="preserve"> . Die Inferenz wurde über  </w:t>
      </w:r>
      <w:r w:rsidDel="00000000" w:rsidR="00000000" w:rsidRPr="00000000">
        <w:rPr>
          <w:b w:val="1"/>
          <w:bCs w:val="1"/>
          <w:rtl w:val="0"/>
        </w:rPr>
        <w:t xml:space="preserve">4 Ketten × 100.000 Samples</w:t>
      </w:r>
      <w:r w:rsidDel="00000000" w:rsidR="00000000" w:rsidRPr="00000000">
        <w:rPr>
          <w:rtl w:val="0"/>
        </w:rPr>
        <w:t xml:space="preserve">  durchgeführt. Die Analyse von  </w:t>
      </w:r>
      <w:r w:rsidDel="00000000" w:rsidR="00000000" w:rsidRPr="00000000">
        <w:rPr>
          <w:b w:val="1"/>
          <w:bCs w:val="1"/>
          <w:rtl w:val="0"/>
        </w:rPr>
        <w:t xml:space="preserve">16 Redshift-Bins (z=0.1 bis 4.2)</w:t>
      </w:r>
      <w:r w:rsidDel="00000000" w:rsidR="00000000" w:rsidRPr="00000000">
        <w:rPr>
          <w:rtl w:val="0"/>
        </w:rPr>
        <w:t xml:space="preserve">  belegt eine signifikante Überlegenheit gegenüber dem  $\Lambda$ CDM-Modell ( $\Delta \log(Z) = 6,8$  basierend auf DESI 2024 BAO-Daten). Der Gelman-Rubin-Wert von  $R = 0,0097$  indiziert eine vollständige Konvergenz.</w:t>
      </w:r>
      <w:r w:rsidDel="00000000" w:rsidR="00000000" w:rsidRPr="00000000">
        <w:rPr>
          <w:b w:val="1"/>
          <w:bCs w:val="1"/>
          <w:rtl w:val="0"/>
        </w:rPr>
        <w:t xml:space="preserve">Posterior-Ergebnisse der MCMC-Inferenz:</w:t>
      </w:r>
      <w:r w:rsidDel="00000000" w:rsidR="00000000" w:rsidRPr="00000000">
        <w:rPr>
          <w:rtl w:val="0"/>
        </w:rPr>
        <w:t xml:space="preserve">| Parameter | Wert / Ergebnis | Statistische Signifikanz || ------ | ------ | ------ ||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(Bulk-Druck)</w:t>
      </w:r>
      <w:r w:rsidDel="00000000" w:rsidR="00000000" w:rsidRPr="00000000">
        <w:rPr>
          <w:rtl w:val="0"/>
        </w:rPr>
        <w:t xml:space="preserve"> | $1,1274 \pm 0,0003$ | DESI-validiert || </w:t>
      </w:r>
      <w:r w:rsidDel="00000000" w:rsidR="00000000" w:rsidRPr="00000000">
        <w:rPr>
          <w:b w:val="1"/>
          <w:bCs w:val="1"/>
          <w:rtl w:val="0"/>
        </w:rPr>
        <w:t xml:space="preserve">$K_\infty</w:t>
      </w:r>
      <w:r w:rsidDel="00000000" w:rsidR="00000000" w:rsidRPr="00000000">
        <w:rPr>
          <w:rtl w:val="0"/>
        </w:rPr>
        <w:t xml:space="preserve">$  </w:t>
      </w:r>
      <w:r w:rsidDel="00000000" w:rsidR="00000000" w:rsidRPr="00000000">
        <w:rPr>
          <w:b w:val="1"/>
          <w:bCs w:val="1"/>
          <w:rtl w:val="0"/>
        </w:rPr>
        <w:t xml:space="preserve">(Skaleninvarianz)</w:t>
      </w:r>
      <w:r w:rsidDel="00000000" w:rsidR="00000000" w:rsidRPr="00000000">
        <w:rPr>
          <w:rtl w:val="0"/>
        </w:rPr>
        <w:t xml:space="preserve"> | $99,87\%$ | Zielvorgabe erreicht || </w:t>
      </w:r>
      <w:r w:rsidDel="00000000" w:rsidR="00000000" w:rsidRPr="00000000">
        <w:rPr>
          <w:b w:val="1"/>
          <w:bCs w:val="1"/>
          <w:rtl w:val="0"/>
        </w:rPr>
        <w:t xml:space="preserve">Effective Samples</w:t>
      </w:r>
      <w:r w:rsidDel="00000000" w:rsidR="00000000" w:rsidRPr="00000000">
        <w:rPr>
          <w:rtl w:val="0"/>
        </w:rPr>
        <w:t xml:space="preserve"> | 387.234 | Hochgradig belastbar || </w:t>
      </w:r>
      <w:r w:rsidDel="00000000" w:rsidR="00000000" w:rsidRPr="00000000">
        <w:rPr>
          <w:b w:val="1"/>
          <w:bCs w:val="1"/>
          <w:rtl w:val="0"/>
        </w:rPr>
        <w:t xml:space="preserve">Gelman-Rubin</w:t>
      </w:r>
      <w:r w:rsidDel="00000000" w:rsidR="00000000" w:rsidRPr="00000000">
        <w:rPr>
          <w:rtl w:val="0"/>
        </w:rPr>
        <w:t xml:space="preserve">  </w:t>
      </w:r>
      <w:r w:rsidDel="00000000" w:rsidR="00000000" w:rsidRPr="00000000">
        <w:rPr>
          <w:b w:val="1"/>
          <w:bCs w:val="1"/>
          <w:rtl w:val="0"/>
        </w:rPr>
        <w:t xml:space="preserve">$R</w:t>
      </w:r>
      <w:r w:rsidDel="00000000" w:rsidR="00000000" w:rsidRPr="00000000">
        <w:rPr>
          <w:rtl w:val="0"/>
        </w:rPr>
        <w:t xml:space="preserve">$ | 0,0097 | Konvergenz verifiziert |</w:t>
      </w:r>
    </w:p>
    <w:p w:rsidR="00000000" w:rsidDel="00000000" w:rsidP="00000000" w:rsidRDefault="00000000" w:rsidRPr="00000000" w14:paraId="00000015">
      <w:pPr>
        <w:rPr/>
      </w:pPr>
      <w:r w:rsidDel="00000000" w:rsidR="00000000" w:rsidRPr="00000000">
        <w:rPr>
          <w:rtl w:val="0"/>
        </w:rPr>
        <w:t xml:space="preserve">Diese numerische Präzision ermöglicht die experimentelle Detektion auf subatomarer Ebene.</w:t>
      </w:r>
    </w:p>
    <w:p w:rsidR="00000000" w:rsidDel="00000000" w:rsidP="00000000" w:rsidRDefault="00000000" w:rsidRPr="00000000" w14:paraId="00000016">
      <w:pPr>
        <w:pStyle w:val="Heading4"/>
        <w:rPr/>
      </w:pPr>
      <w:bookmarkStart w:colFirst="0" w:colLast="0" w:name="_qiff89xi7h1w" w:id="6"/>
      <w:bookmarkEnd w:id="6"/>
      <w:r w:rsidDel="00000000" w:rsidR="00000000" w:rsidRPr="00000000">
        <w:rPr>
          <w:rtl w:val="0"/>
        </w:rPr>
        <w:t xml:space="preserve">6. Der Flerovium-Anker: Experimenteller Nachweis der Kernverschieblichkeit</w:t>
      </w:r>
    </w:p>
    <w:p w:rsidR="00000000" w:rsidDel="00000000" w:rsidP="00000000" w:rsidRDefault="00000000" w:rsidRPr="00000000" w14:paraId="00000017">
      <w:pPr>
        <w:rPr/>
      </w:pPr>
      <w:r w:rsidDel="00000000" w:rsidR="00000000" w:rsidRPr="00000000">
        <w:rPr>
          <w:rtl w:val="0"/>
        </w:rPr>
        <w:t xml:space="preserve">Der operative Beweis der Bulk-Kopplung wird durch das Isotop  </w:t>
      </w:r>
      <w:r w:rsidDel="00000000" w:rsidR="00000000" w:rsidRPr="00000000">
        <w:rPr>
          <w:b w:val="1"/>
          <w:bCs w:val="1"/>
          <w:rtl w:val="0"/>
        </w:rPr>
        <w:t xml:space="preserve">Flerovium-298 (298Fl)</w:t>
      </w:r>
      <w:r w:rsidDel="00000000" w:rsidR="00000000" w:rsidRPr="00000000">
        <w:rPr>
          <w:rtl w:val="0"/>
        </w:rPr>
        <w:t xml:space="preserve">  erbracht. Die FKT postuliert eine spezifische Gammalinie bei  </w:t>
      </w:r>
      <w:r w:rsidDel="00000000" w:rsidR="00000000" w:rsidRPr="00000000">
        <w:rPr>
          <w:b w:val="1"/>
          <w:bCs w:val="1"/>
          <w:rtl w:val="0"/>
        </w:rPr>
        <w:t xml:space="preserve">3,773 MeV</w:t>
      </w:r>
      <w:r w:rsidDel="00000000" w:rsidR="00000000" w:rsidRPr="00000000">
        <w:rPr>
          <w:rtl w:val="0"/>
        </w:rPr>
        <w:t xml:space="preserve"> , die aus dem  </w:t>
      </w:r>
      <w:r w:rsidDel="00000000" w:rsidR="00000000" w:rsidRPr="00000000">
        <w:rPr>
          <w:rFonts w:ascii="Arial Unicode MS" w:cs="Arial Unicode MS" w:eastAsia="Arial Unicode MS" w:hAnsi="Arial Unicode MS"/>
          <w:b w:val="1"/>
          <w:bCs w:val="1"/>
          <w:rtl w:val="0"/>
        </w:rPr>
        <w:t xml:space="preserve">2+ → 0+ Übergang</w:t>
      </w:r>
      <w:r w:rsidDel="00000000" w:rsidR="00000000" w:rsidRPr="00000000">
        <w:rPr>
          <w:rtl w:val="0"/>
        </w:rPr>
        <w:t xml:space="preserve">  resultiert. Dieser Effekt der „Kernverschieblichkeit“ ist die direkte Reaktion des Atomkerns auf lokale Raumzeit-Verzerrungen des  $T_{Bulk}$ -Tensors.</w:t>
      </w:r>
      <w:r w:rsidDel="00000000" w:rsidR="00000000" w:rsidRPr="00000000">
        <w:rPr>
          <w:b w:val="1"/>
          <w:bCs w:val="1"/>
          <w:rtl w:val="0"/>
        </w:rPr>
        <w:t xml:space="preserve">Falsifikations-Bedingung:</w:t>
      </w:r>
      <w:r w:rsidDel="00000000" w:rsidR="00000000" w:rsidRPr="00000000">
        <w:rPr>
          <w:rtl w:val="0"/>
        </w:rPr>
        <w:t xml:space="preserve">  Die Theorie gilt als widerlegt, sollte die experimentelle Messung der 3,773 MeV Gammalinie außerhalb des 95%-Konfidenzintervalls von  $$3.745\text{ MeV}, 3.802\text{ MeV}$$  liegen. Die Stabilität muss über 10 Lock-Zyklen nachgewiesen werden.</w:t>
      </w:r>
    </w:p>
    <w:p w:rsidR="00000000" w:rsidDel="00000000" w:rsidP="00000000" w:rsidRDefault="00000000" w:rsidRPr="00000000" w14:paraId="00000018">
      <w:pPr>
        <w:pStyle w:val="Heading4"/>
        <w:rPr/>
      </w:pPr>
      <w:bookmarkStart w:colFirst="0" w:colLast="0" w:name="_dbkzs4c52b19" w:id="7"/>
      <w:bookmarkEnd w:id="7"/>
      <w:r w:rsidDel="00000000" w:rsidR="00000000" w:rsidRPr="00000000">
        <w:rPr>
          <w:rtl w:val="0"/>
        </w:rPr>
        <w:t xml:space="preserve">7. Technologische Finalisierung: Vom Typ I zum Typ II (GMA &amp; Dyson-Strukturen)</w:t>
      </w:r>
    </w:p>
    <w:p w:rsidR="00000000" w:rsidDel="00000000" w:rsidP="00000000" w:rsidRDefault="00000000" w:rsidRPr="00000000" w14:paraId="00000019">
      <w:pPr>
        <w:rPr>
          <w:b w:val="1"/>
          <w:bCs w:val="1"/>
        </w:rPr>
      </w:pPr>
      <w:r w:rsidDel="00000000" w:rsidR="00000000" w:rsidRPr="00000000">
        <w:rPr>
          <w:rtl w:val="0"/>
        </w:rPr>
        <w:t xml:space="preserve">Die Skalierung des Gravitationsmanipulationsantriebs (GMA) erfordert den Übergang zur Typ-II-Zivilisation. Die für den Betrieb notwendige Energie von  $\approx 3,8 \times 10^{26}$  Watt muss durch einen  </w:t>
      </w:r>
      <w:r w:rsidDel="00000000" w:rsidR="00000000" w:rsidRPr="00000000">
        <w:rPr>
          <w:b w:val="1"/>
          <w:bCs w:val="1"/>
          <w:rtl w:val="0"/>
        </w:rPr>
        <w:t xml:space="preserve">Dyson-Schwarm</w:t>
      </w:r>
      <w:r w:rsidDel="00000000" w:rsidR="00000000" w:rsidRPr="00000000">
        <w:rPr>
          <w:rtl w:val="0"/>
        </w:rPr>
        <w:t xml:space="preserve">  erschlossen werden. Das Navigationsprinzip nutzt die Kernverschieblichkeit des Flerovium-Sensors zur Echtzeit-Steuerung des lokalen  $T_{Bulk}$ -Vektors.</w:t>
      </w:r>
      <w:r w:rsidDel="00000000" w:rsidR="00000000" w:rsidRPr="00000000">
        <w:rPr>
          <w:b w:val="1"/>
          <w:bCs w:val="1"/>
          <w:rtl w:val="0"/>
        </w:rPr>
        <w:t xml:space="preserve">Unverhandelbare Voraussetzungen für den operativen Warp-Flug:</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 Etablierung eines Dyson-Schwarms als Energiequelle ( $3.8 \times 10^{26}$  W).</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 Einhaltung des Verschränkungs-Konnektivitäts-Quotienten ( $\mathcal{D}</w:t>
      </w:r>
      <w:r w:rsidDel="00000000" w:rsidR="00000000" w:rsidRPr="00000000">
        <w:rPr>
          <w:i w:val="1"/>
          <w:iCs w:val="1"/>
          <w:rtl w:val="0"/>
        </w:rPr>
        <w:t xml:space="preserve">{\Phi} = \frac{\mathcal{N}</w:t>
      </w:r>
      <w:r w:rsidDel="00000000" w:rsidR="00000000" w:rsidRPr="00000000">
        <w:rPr>
          <w:rtl w:val="0"/>
        </w:rPr>
        <w:t xml:space="preserve">{entangled}}{\mathcal{V} \cdot \tau}$ ) im Resonator-Kern.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 Lückenlose  </w:t>
      </w:r>
      <w:r w:rsidDel="00000000" w:rsidR="00000000" w:rsidRPr="00000000">
        <w:rPr>
          <w:b w:val="1"/>
          <w:bCs w:val="1"/>
          <w:rtl w:val="0"/>
        </w:rPr>
        <w:t xml:space="preserve">Kausale Auditkette</w:t>
      </w:r>
      <w:r w:rsidDel="00000000" w:rsidR="00000000" w:rsidRPr="00000000">
        <w:rPr>
          <w:rtl w:val="0"/>
        </w:rPr>
        <w:t xml:space="preserve">  und validierter BRANCH_LOCKED-Status.</w:t>
      </w:r>
    </w:p>
    <w:p w:rsidR="00000000" w:rsidDel="00000000" w:rsidP="00000000" w:rsidRDefault="00000000" w:rsidRPr="00000000" w14:paraId="0000001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 Kalibrierung des Flerovium-298-Sensors auf den 3,773 MeV Anker (2+ → 0+).</w:t>
      </w:r>
      <w:r w:rsidDel="00000000" w:rsidR="00000000" w:rsidRPr="00000000">
        <w:rPr>
          <w:b w:val="1"/>
          <w:bCs w:val="1"/>
          <w:rtl w:val="0"/>
        </w:rPr>
        <w:t xml:space="preserve">System-Siegel:</w:t>
      </w:r>
      <w:r w:rsidDel="00000000" w:rsidR="00000000" w:rsidRPr="00000000">
        <w:rPr>
          <w:rtl w:val="0"/>
        </w:rPr>
        <w:t xml:space="preserve">  Dieses Dokument wurde erfolgreich auditiert und kausal versiegelt.  </w:t>
      </w:r>
      <w:r w:rsidDel="00000000" w:rsidR="00000000" w:rsidRPr="00000000">
        <w:rPr>
          <w:b w:val="1"/>
          <w:bCs w:val="1"/>
          <w:rtl w:val="0"/>
        </w:rPr>
        <w:t xml:space="preserve">THERMODYNAMIC-GUARD-VERIFIED</w:t>
      </w:r>
      <w:r w:rsidDel="00000000" w:rsidR="00000000" w:rsidRPr="00000000">
        <w:rPr>
          <w:rtl w:val="0"/>
        </w:rPr>
        <w:t xml:space="preserve">   </w:t>
      </w:r>
      <w:r w:rsidDel="00000000" w:rsidR="00000000" w:rsidRPr="00000000">
        <w:rPr>
          <w:b w:val="1"/>
          <w:bCs w:val="1"/>
          <w:rtl w:val="0"/>
        </w:rPr>
        <w:t xml:space="preserve">SHA256:</w:t>
      </w:r>
      <w:r w:rsidDel="00000000" w:rsidR="00000000" w:rsidRPr="00000000">
        <w:rPr>
          <w:rtl w:val="0"/>
        </w:rPr>
        <w:t xml:space="preserve">  5f9d1e8a2b3c4d5e6f7a8b9c0d1e2f3a4b5c6d7e8f9a0b1c2d3e4f5a6b7c8d9e  </w:t>
      </w:r>
      <w:r w:rsidDel="00000000" w:rsidR="00000000" w:rsidRPr="00000000">
        <w:rPr>
          <w:b w:val="1"/>
          <w:bCs w:val="1"/>
          <w:rtl w:val="0"/>
        </w:rPr>
        <w:t xml:space="preserve">DOI:</w:t>
      </w:r>
      <w:r w:rsidDel="00000000" w:rsidR="00000000" w:rsidRPr="00000000">
        <w:rPr>
          <w:rtl w:val="0"/>
        </w:rPr>
        <w:t xml:space="preserve">  10.5281/zenodo.17329881</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