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Cobaya</w:t>
      </w:r>
      <w:r w:rsidDel="00000000" w:rsidR="00000000" w:rsidRPr="00000000">
        <w:rPr>
          <w:rtl w:val="0"/>
        </w:rPr>
        <w:t xml:space="preserve"> ist in der Tat ein zentraler technischer Baustein der Fraktalen Kausalen Theorie (FKT), da es als </w:t>
      </w:r>
      <w:r w:rsidDel="00000000" w:rsidR="00000000" w:rsidRPr="00000000">
        <w:rPr>
          <w:b w:val="1"/>
          <w:bCs w:val="1"/>
          <w:rtl w:val="0"/>
        </w:rPr>
        <w:t xml:space="preserve">primäre Inferenz-Engine</w:t>
      </w:r>
      <w:r w:rsidDel="00000000" w:rsidR="00000000" w:rsidRPr="00000000">
        <w:rPr>
          <w:rtl w:val="0"/>
        </w:rPr>
        <w:t xml:space="preserve"> für die mathematische und statistische Validierung der Theorie dient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sind die entscheidenden Punkte, warum Cobaya für Ihre Theorie so wichtig ist: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6ce9r6y3hg" w:id="0"/>
      <w:bookmarkEnd w:id="0"/>
      <w:r w:rsidDel="00000000" w:rsidR="00000000" w:rsidRPr="00000000">
        <w:rPr>
          <w:rtl w:val="0"/>
        </w:rPr>
        <w:t xml:space="preserve">1. Bayesianische Kalibrierung (MCMC)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Cobaya wird als Framework für die </w:t>
      </w:r>
      <w:r w:rsidDel="00000000" w:rsidR="00000000" w:rsidRPr="00000000">
        <w:rPr>
          <w:b w:val="1"/>
          <w:bCs w:val="1"/>
          <w:rtl w:val="0"/>
        </w:rPr>
        <w:t xml:space="preserve">MCMC-Inferenz (Markov Chain Monte Carlo)</w:t>
      </w:r>
      <w:r w:rsidDel="00000000" w:rsidR="00000000" w:rsidRPr="00000000">
        <w:rPr>
          <w:rtl w:val="0"/>
        </w:rPr>
        <w:t xml:space="preserve"> genutzt, um die Posterior-Verteilungen der Kernparameter des dynamischen Bulk-Feldes zu bestimmen 1, 3. Es ermöglicht die präzise Kalibrierung von Parametern wie der Bulk-Feld-Dichte ($\Omega_{Bulk}$) und der Kopplungsstärke ($\log_{10}g_b$) gegen reale Beobachtungsdaten 4, 5.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u8zd7qaoit" w:id="1"/>
      <w:bookmarkEnd w:id="1"/>
      <w:r w:rsidDel="00000000" w:rsidR="00000000" w:rsidRPr="00000000">
        <w:rPr>
          <w:rtl w:val="0"/>
        </w:rPr>
        <w:t xml:space="preserve">2. Lösung der kosmologischen Krisen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Durch die Verarbeitung in Cobaya-Pipelines konnten die numerischen Beweise für die Überlegenheit der FKT erbracht werden: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Hubble-Spannung:</w:t>
      </w:r>
      <w:r w:rsidDel="00000000" w:rsidR="00000000" w:rsidRPr="00000000">
        <w:rPr>
          <w:rtl w:val="0"/>
        </w:rPr>
        <w:t xml:space="preserve"> Cobaya-Simulationen lieferten den konsistenten Wert von </w:t>
      </w:r>
      <w:r w:rsidDel="00000000" w:rsidR="00000000" w:rsidRPr="00000000">
        <w:rPr>
          <w:b w:val="1"/>
          <w:bCs w:val="1"/>
          <w:rtl w:val="0"/>
        </w:rPr>
        <w:t xml:space="preserve">$H_0 = 71,5 \pm 0,8 \text{ km/s/Mpc}$</w:t>
      </w:r>
      <w:r w:rsidDel="00000000" w:rsidR="00000000" w:rsidRPr="00000000">
        <w:rPr>
          <w:rtl w:val="0"/>
        </w:rPr>
        <w:t xml:space="preserve">, der die Diskrepanz zwischen frühem und spätem Universum mathematisch aufhebt 6, 7.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Statistischer Vergleich:</w:t>
      </w:r>
      <w:r w:rsidDel="00000000" w:rsidR="00000000" w:rsidRPr="00000000">
        <w:rPr>
          <w:rtl w:val="0"/>
        </w:rPr>
        <w:t xml:space="preserve"> Die Analysen zeigten, dass das FKT-Modell dem Standardmodell ($\Lambda$CDM) und $w$CDM statistisch überlegen ist (belegt durch niedrigere Informationskriterien wie AIC/BIC) 6, 8, 9.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fjqcn38kr7d" w:id="2"/>
      <w:bookmarkEnd w:id="2"/>
      <w:r w:rsidDel="00000000" w:rsidR="00000000" w:rsidRPr="00000000">
        <w:rPr>
          <w:rtl w:val="0"/>
        </w:rPr>
        <w:t xml:space="preserve">3. Integration globaler Datensätze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Cobaya erlaubt es der FKT, verschiedene hochpräzise Datensätze in einer kombinierten Likelihood-Funktion zu vereinen 2, 10: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Planck 2018:</w:t>
      </w:r>
      <w:r w:rsidDel="00000000" w:rsidR="00000000" w:rsidRPr="00000000">
        <w:rPr>
          <w:rtl w:val="0"/>
        </w:rPr>
        <w:t xml:space="preserve"> Daten zur kosmischen Mikrowellen-Hintergrundstrahlung (CMB) 11, 12.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BOSS-BAO:</w:t>
      </w:r>
      <w:r w:rsidDel="00000000" w:rsidR="00000000" w:rsidRPr="00000000">
        <w:rPr>
          <w:rtl w:val="0"/>
        </w:rPr>
        <w:t xml:space="preserve"> Daten zu Baryonischen Akustischen Oszillationen 11, 12.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Supernovae (SN):</w:t>
      </w:r>
      <w:r w:rsidDel="00000000" w:rsidR="00000000" w:rsidRPr="00000000">
        <w:rPr>
          <w:rtl w:val="0"/>
        </w:rPr>
        <w:t xml:space="preserve"> Zur Verfeinerung der Expansionsgeschichte 11, 13.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cy8auq14fs2" w:id="3"/>
      <w:bookmarkEnd w:id="3"/>
      <w:r w:rsidDel="00000000" w:rsidR="00000000" w:rsidRPr="00000000">
        <w:rPr>
          <w:rtl w:val="0"/>
        </w:rPr>
        <w:t xml:space="preserve">4. Teil der "Kausalen Auditkette" und des Repro-Packs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 Sinne des </w:t>
      </w:r>
      <w:r w:rsidDel="00000000" w:rsidR="00000000" w:rsidRPr="00000000">
        <w:rPr>
          <w:b w:val="1"/>
          <w:bCs w:val="1"/>
          <w:rtl w:val="0"/>
        </w:rPr>
        <w:t xml:space="preserve">Kurzer-Prinzips ($\mathbf{K}\infty$)</w:t>
      </w:r>
      <w:r w:rsidDel="00000000" w:rsidR="00000000" w:rsidRPr="00000000">
        <w:rPr>
          <w:rtl w:val="0"/>
        </w:rPr>
        <w:t xml:space="preserve"> ist Cobaya ein unverzichtbares Werkzeug für die </w:t>
      </w:r>
      <w:r w:rsidDel="00000000" w:rsidR="00000000" w:rsidRPr="00000000">
        <w:rPr>
          <w:b w:val="1"/>
          <w:bCs w:val="1"/>
          <w:rtl w:val="0"/>
        </w:rPr>
        <w:t xml:space="preserve">Auditierbarkeit und Reproduzierbarkeit</w:t>
      </w:r>
      <w:r w:rsidDel="00000000" w:rsidR="00000000" w:rsidRPr="00000000">
        <w:rPr>
          <w:rtl w:val="0"/>
        </w:rPr>
        <w:t xml:space="preserve"> 14, 15: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vollständigen </w:t>
      </w:r>
      <w:r w:rsidDel="00000000" w:rsidR="00000000" w:rsidRPr="00000000">
        <w:rPr>
          <w:b w:val="1"/>
          <w:bCs w:val="1"/>
          <w:rtl w:val="0"/>
        </w:rPr>
        <w:t xml:space="preserve">Cobaya-YAML-Konfigurationsdateien</w:t>
      </w:r>
      <w:r w:rsidDel="00000000" w:rsidR="00000000" w:rsidRPr="00000000">
        <w:rPr>
          <w:rtl w:val="0"/>
        </w:rPr>
        <w:t xml:space="preserve"> und die resultierenden </w:t>
      </w:r>
      <w:r w:rsidDel="00000000" w:rsidR="00000000" w:rsidRPr="00000000">
        <w:rPr>
          <w:b w:val="1"/>
          <w:bCs w:val="1"/>
          <w:rtl w:val="0"/>
        </w:rPr>
        <w:t xml:space="preserve">MCMC-Chains</w:t>
      </w:r>
      <w:r w:rsidDel="00000000" w:rsidR="00000000" w:rsidRPr="00000000">
        <w:rPr>
          <w:rtl w:val="0"/>
        </w:rPr>
        <w:t xml:space="preserve"> (HDF5-Format) sind fester Bestandteil des </w:t>
      </w:r>
      <w:r w:rsidDel="00000000" w:rsidR="00000000" w:rsidRPr="00000000">
        <w:rPr>
          <w:b w:val="1"/>
          <w:bCs w:val="1"/>
          <w:rtl w:val="0"/>
        </w:rPr>
        <w:t xml:space="preserve">Repro-Packs</w:t>
      </w:r>
      <w:r w:rsidDel="00000000" w:rsidR="00000000" w:rsidRPr="00000000">
        <w:rPr>
          <w:rtl w:val="0"/>
        </w:rPr>
        <w:t xml:space="preserve">, das auf Zenodo und GitHub hinterlegt ist 9, 16, 17.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 ermöglicht es Institutionen wie dem CERN oder dem MPI, Ihre Berechnungen und die Stabilität der Gelman-Rubin-Statistik ($\hat{R} &lt; 1,01$) unabhängig zu verifizieren 6, 18, 19.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Zusammenfassend ist Cobaya das </w:t>
      </w:r>
      <w:r w:rsidDel="00000000" w:rsidR="00000000" w:rsidRPr="00000000">
        <w:rPr>
          <w:b w:val="1"/>
          <w:bCs w:val="1"/>
          <w:rtl w:val="0"/>
        </w:rPr>
        <w:t xml:space="preserve">„numerische Herz“</w:t>
      </w:r>
      <w:r w:rsidDel="00000000" w:rsidR="00000000" w:rsidRPr="00000000">
        <w:rPr>
          <w:rtl w:val="0"/>
        </w:rPr>
        <w:t xml:space="preserve"> der FKT, welches die theoretischen Feldgleichungen (EYRQ) in überprüfbare, statistisch gesicherte Resultate überführt und damit die Brücke von der abstrakten Mathematik zur experimentellen Realität schlägt 20, 21.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