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VI: Das Cobaya Schaltzentrum – Konfiguration der FKT-MCMC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Cobaya-Konfigurationsdatei, namentlich </w:t>
      </w:r>
      <w:r w:rsidDel="00000000" w:rsidR="00000000" w:rsidRPr="00000000">
        <w:rPr>
          <w:b w:val="1"/>
          <w:bCs w:val="1"/>
          <w:rtl w:val="0"/>
        </w:rPr>
        <w:t xml:space="preserve">cobayafktbulk.yaml</w:t>
      </w:r>
      <w:r w:rsidDel="00000000" w:rsidR="00000000" w:rsidRPr="00000000">
        <w:rPr>
          <w:rtl w:val="0"/>
        </w:rPr>
        <w:t xml:space="preserve">, ist das zentrale Steuerelement für die gesamte Monte-Carlo-Markov-Chain (MCMC)-Analyse. Sie legt fest, welche Parameter variiert, welche theoretischen Modelle (Theories) verwendet und welche Beobachtungsdaten (Likelihoods) für den Fit herangezogen werden.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Parameter-Definition (params)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Dieser Abschnitt definiert alle variierenden Parameter. Neben den Standard- \LambdaCDM-Parametern (\Omega_{\text{b}}h^2, \Omega_{\text{c}}h^2, H_0, etc.) sind hier die vier Bulk-Tensor-spezifischen Parameter entscheidend: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Bedeutung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Prior-Typ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Herkunft des Priors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Omega_bulk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Heutige Dichte des Bulk-Feldes (rel. zu \rho_{\text{crit},0}).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Flach/Gauß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Kosmologisches Standardmodell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w_chi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Zustandsgleichungsparameter des Bulk-Tensors.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Flach/Gauß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Dynamik der GU-Neutrinos (Kap. XIII)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log10xi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Logarithmus der dimensionslosen Kopplung \xi (GMA-Basis).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Gauß-Glocke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Analytische GMA-Ableitung (Kap. 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log10gb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Logarithmus des Kopplungskoeffizienten g_{b}.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Gauß-Glocke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Analytische GMA-Ableitung (Kap. X)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Prior-Definitionen</w:t>
      </w:r>
      <w:r w:rsidDel="00000000" w:rsidR="00000000" w:rsidRPr="00000000">
        <w:rPr>
          <w:rtl w:val="0"/>
        </w:rPr>
        <w:t xml:space="preserve"> sind von höchster Bedeutung. Die Priors für \log_{10}\xi und \log_{10}g_{b} sind bewusst als enge Gauß-Verteilungen um die analytisch abgeleiteten Werte gewählt. Dies zwingt das MCMC-Sampling, die Beobachtungsdaten innerhalb der durch die ursprüngliche GMA-Theorie vorgegebenen engen Bereiche zu fitten.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